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5E2849" w:rsidRDefault="00265E84" w:rsidP="00637F5B">
      <w:pPr>
        <w:pStyle w:val="Heading1"/>
        <w:jc w:val="center"/>
      </w:pPr>
      <w:r>
        <w:t>IS-18</w:t>
      </w:r>
      <w:r w:rsidR="001159E6" w:rsidRPr="005E2849">
        <w:t xml:space="preserve"> </w:t>
      </w:r>
      <w:r>
        <w:t>D</w:t>
      </w:r>
      <w:r w:rsidR="00637F5B">
        <w:t>ata Retention Policy</w:t>
      </w:r>
    </w:p>
    <w:p w:rsidR="000F5D84" w:rsidRPr="005E2849" w:rsidRDefault="000F5D84" w:rsidP="000F5D84">
      <w:pPr>
        <w:pStyle w:val="Default"/>
        <w:spacing w:after="22"/>
        <w:rPr>
          <w:sz w:val="23"/>
          <w:szCs w:val="23"/>
        </w:rPr>
      </w:pPr>
    </w:p>
    <w:p w:rsidR="000F1643" w:rsidRPr="000F1643" w:rsidRDefault="000F1643" w:rsidP="000F1643">
      <w:pPr>
        <w:rPr>
          <w:b/>
        </w:rPr>
      </w:pPr>
      <w:r w:rsidRPr="000F1643">
        <w:rPr>
          <w:b/>
        </w:rPr>
        <w:t xml:space="preserve">14.1 </w:t>
      </w:r>
      <w:r w:rsidR="00265E84">
        <w:rPr>
          <w:b/>
        </w:rPr>
        <w:t>Data Retention</w:t>
      </w:r>
      <w:r w:rsidRPr="000F1643">
        <w:rPr>
          <w:b/>
        </w:rPr>
        <w:t xml:space="preserve"> Policy</w:t>
      </w:r>
    </w:p>
    <w:p w:rsidR="00265E84" w:rsidRPr="00265E84" w:rsidRDefault="00265E84" w:rsidP="00265E84">
      <w:pPr>
        <w:autoSpaceDE w:val="0"/>
        <w:autoSpaceDN w:val="0"/>
        <w:adjustRightInd w:val="0"/>
        <w:spacing w:after="0" w:line="240" w:lineRule="auto"/>
        <w:rPr>
          <w:rFonts w:cstheme="minorHAnsi"/>
          <w:color w:val="000000"/>
        </w:rPr>
      </w:pPr>
      <w:r w:rsidRPr="00265E84">
        <w:rPr>
          <w:rFonts w:cstheme="minorHAnsi"/>
          <w:color w:val="000000"/>
        </w:rPr>
        <w:t>This policy specifies how important documents (hard copy, electronic or other media) should be retained, protected and destroyed. The policy also ensures that documents are promptly provided to authorities in the course of legal investigations or lawsuits.</w:t>
      </w:r>
    </w:p>
    <w:p w:rsidR="00265E84" w:rsidRPr="00265E84" w:rsidRDefault="00265E84" w:rsidP="00265E84">
      <w:pPr>
        <w:autoSpaceDE w:val="0"/>
        <w:autoSpaceDN w:val="0"/>
        <w:adjustRightInd w:val="0"/>
        <w:spacing w:after="0" w:line="240" w:lineRule="auto"/>
        <w:rPr>
          <w:rFonts w:cstheme="minorHAnsi"/>
          <w:color w:val="000000"/>
        </w:rPr>
      </w:pPr>
    </w:p>
    <w:p w:rsidR="00265E84" w:rsidRPr="00265E84" w:rsidRDefault="00265E84" w:rsidP="00637F5B">
      <w:pPr>
        <w:autoSpaceDE w:val="0"/>
        <w:autoSpaceDN w:val="0"/>
        <w:adjustRightInd w:val="0"/>
        <w:spacing w:line="240" w:lineRule="auto"/>
        <w:rPr>
          <w:rFonts w:cstheme="minorHAnsi"/>
          <w:b/>
          <w:color w:val="000000"/>
        </w:rPr>
      </w:pPr>
      <w:r w:rsidRPr="00265E84">
        <w:rPr>
          <w:rFonts w:cstheme="minorHAnsi"/>
          <w:b/>
          <w:color w:val="000000"/>
        </w:rPr>
        <w:t>Document Retention Schedule</w:t>
      </w:r>
    </w:p>
    <w:p w:rsidR="00265E84" w:rsidRPr="00265E84" w:rsidRDefault="00265E84" w:rsidP="00265E84">
      <w:pPr>
        <w:autoSpaceDE w:val="0"/>
        <w:autoSpaceDN w:val="0"/>
        <w:adjustRightInd w:val="0"/>
        <w:spacing w:after="0" w:line="240" w:lineRule="auto"/>
        <w:rPr>
          <w:rFonts w:cstheme="minorHAnsi"/>
          <w:color w:val="000000"/>
        </w:rPr>
      </w:pPr>
      <w:r w:rsidRPr="00265E84">
        <w:rPr>
          <w:rFonts w:cstheme="minorHAnsi"/>
          <w:color w:val="000000"/>
        </w:rPr>
        <w:t>The following types of documents will be retained for the following periods of time. At least one</w:t>
      </w:r>
      <w:r w:rsidR="00637F5B">
        <w:rPr>
          <w:rFonts w:cstheme="minorHAnsi"/>
          <w:color w:val="000000"/>
        </w:rPr>
        <w:t xml:space="preserve"> </w:t>
      </w:r>
      <w:r w:rsidRPr="00265E84">
        <w:rPr>
          <w:rFonts w:cstheme="minorHAnsi"/>
          <w:color w:val="000000"/>
        </w:rPr>
        <w:t>copy of each document will be retained according to the following schedule.</w:t>
      </w:r>
    </w:p>
    <w:p w:rsidR="00265E84" w:rsidRPr="00265E84" w:rsidRDefault="00265E84" w:rsidP="00265E84">
      <w:pPr>
        <w:autoSpaceDE w:val="0"/>
        <w:autoSpaceDN w:val="0"/>
        <w:adjustRightInd w:val="0"/>
        <w:spacing w:after="0" w:line="240" w:lineRule="auto"/>
        <w:rPr>
          <w:rFonts w:cstheme="minorHAnsi"/>
          <w:color w:val="434343"/>
        </w:rPr>
      </w:pPr>
    </w:p>
    <w:p w:rsidR="00265E84" w:rsidRPr="00265E84" w:rsidRDefault="00265E84" w:rsidP="00265E84">
      <w:pPr>
        <w:autoSpaceDE w:val="0"/>
        <w:autoSpaceDN w:val="0"/>
        <w:adjustRightInd w:val="0"/>
        <w:spacing w:after="0" w:line="240" w:lineRule="auto"/>
        <w:rPr>
          <w:rFonts w:cstheme="minorHAnsi"/>
          <w:b/>
          <w:color w:val="000000" w:themeColor="text1"/>
        </w:rPr>
      </w:pPr>
      <w:r w:rsidRPr="00265E84">
        <w:rPr>
          <w:rFonts w:cstheme="minorHAnsi"/>
          <w:b/>
          <w:color w:val="000000" w:themeColor="text1"/>
        </w:rPr>
        <w:t>Corporate Records</w:t>
      </w:r>
    </w:p>
    <w:tbl>
      <w:tblPr>
        <w:tblStyle w:val="TableGrid"/>
        <w:tblW w:w="0" w:type="auto"/>
        <w:tblLook w:val="04A0" w:firstRow="1" w:lastRow="0" w:firstColumn="1" w:lastColumn="0" w:noHBand="0" w:noVBand="1"/>
      </w:tblPr>
      <w:tblGrid>
        <w:gridCol w:w="7105"/>
        <w:gridCol w:w="2245"/>
      </w:tblGrid>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Article of Incorporation to apply for corporate status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themeColor="text1"/>
              </w:rPr>
            </w:pPr>
            <w:r w:rsidRPr="00265E84">
              <w:rPr>
                <w:rFonts w:cstheme="minorHAnsi"/>
                <w:color w:val="000000" w:themeColor="text1"/>
              </w:rPr>
              <w:t>Bylaws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themeColor="text1"/>
              </w:rPr>
            </w:pPr>
            <w:r w:rsidRPr="00265E84">
              <w:rPr>
                <w:rFonts w:cstheme="minorHAnsi"/>
                <w:color w:val="000000" w:themeColor="text1"/>
              </w:rPr>
              <w:t>Board policies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themeColor="text1"/>
              </w:rPr>
            </w:pPr>
            <w:r w:rsidRPr="00265E84">
              <w:rPr>
                <w:rFonts w:cstheme="minorHAnsi"/>
                <w:color w:val="000000" w:themeColor="text1"/>
              </w:rPr>
              <w:t>Resolutions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themeColor="text1"/>
              </w:rPr>
            </w:pPr>
            <w:r w:rsidRPr="00265E84">
              <w:rPr>
                <w:rFonts w:cstheme="minorHAnsi"/>
                <w:color w:val="000000" w:themeColor="text1"/>
              </w:rPr>
              <w:t>Board Meeting Minutes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themeColor="text1"/>
              </w:rPr>
            </w:pPr>
            <w:r w:rsidRPr="00265E84">
              <w:rPr>
                <w:rFonts w:cstheme="minorHAnsi"/>
                <w:color w:val="000000" w:themeColor="text1"/>
              </w:rPr>
              <w:t>Sales Tax Exemption Documents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Tax or employee identification number designation</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Annual corporate filings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bl>
    <w:p w:rsidR="00265E84" w:rsidRPr="00265E84" w:rsidRDefault="00265E84" w:rsidP="00265E84">
      <w:pPr>
        <w:autoSpaceDE w:val="0"/>
        <w:autoSpaceDN w:val="0"/>
        <w:adjustRightInd w:val="0"/>
        <w:spacing w:after="0" w:line="240" w:lineRule="auto"/>
        <w:rPr>
          <w:rFonts w:cstheme="minorHAnsi"/>
          <w:color w:val="434343"/>
        </w:rPr>
      </w:pPr>
    </w:p>
    <w:p w:rsidR="00265E84" w:rsidRPr="00265E84" w:rsidRDefault="00265E84" w:rsidP="00265E84">
      <w:pPr>
        <w:autoSpaceDE w:val="0"/>
        <w:autoSpaceDN w:val="0"/>
        <w:adjustRightInd w:val="0"/>
        <w:spacing w:after="0" w:line="240" w:lineRule="auto"/>
        <w:rPr>
          <w:rFonts w:cstheme="minorHAnsi"/>
          <w:b/>
          <w:color w:val="000000" w:themeColor="text1"/>
        </w:rPr>
      </w:pPr>
      <w:r w:rsidRPr="00265E84">
        <w:rPr>
          <w:rFonts w:cstheme="minorHAnsi"/>
          <w:b/>
          <w:color w:val="000000" w:themeColor="text1"/>
        </w:rPr>
        <w:t>Financial Records</w:t>
      </w:r>
    </w:p>
    <w:tbl>
      <w:tblPr>
        <w:tblStyle w:val="TableGrid"/>
        <w:tblW w:w="0" w:type="auto"/>
        <w:tblLook w:val="04A0" w:firstRow="1" w:lastRow="0" w:firstColumn="1" w:lastColumn="0" w:noHBand="0" w:noVBand="1"/>
      </w:tblPr>
      <w:tblGrid>
        <w:gridCol w:w="7105"/>
        <w:gridCol w:w="2245"/>
      </w:tblGrid>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Chart of Accounts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Fiscal Policies and Procedures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Audits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Financial statements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General Ledger</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Permanent</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Check registers/books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7 years</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Business expenses documents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7 years</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Bank deposit slips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7 years</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Cancelled checks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7 years</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Investment records (deposits, earnings, withdrawals)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7 years</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Property/asset inventories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7 years</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Petty cash receipts/documents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3 years</w:t>
            </w: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434343"/>
              </w:rPr>
            </w:pPr>
            <w:r w:rsidRPr="00265E84">
              <w:rPr>
                <w:rFonts w:cstheme="minorHAnsi"/>
                <w:color w:val="000000"/>
              </w:rPr>
              <w:t>Credit card receipts</w:t>
            </w:r>
          </w:p>
        </w:tc>
        <w:tc>
          <w:tcPr>
            <w:tcW w:w="2245" w:type="dxa"/>
          </w:tcPr>
          <w:p w:rsidR="00265E84" w:rsidRPr="00265E84" w:rsidRDefault="00265E84" w:rsidP="00D5637B">
            <w:pPr>
              <w:autoSpaceDE w:val="0"/>
              <w:autoSpaceDN w:val="0"/>
              <w:adjustRightInd w:val="0"/>
              <w:rPr>
                <w:rFonts w:cstheme="minorHAnsi"/>
                <w:color w:val="434343"/>
              </w:rPr>
            </w:pPr>
            <w:r w:rsidRPr="00265E84">
              <w:rPr>
                <w:rFonts w:cstheme="minorHAnsi"/>
                <w:color w:val="434343"/>
              </w:rPr>
              <w:t>3 years</w:t>
            </w:r>
          </w:p>
        </w:tc>
      </w:tr>
    </w:tbl>
    <w:p w:rsidR="00265E84" w:rsidRPr="00265E84" w:rsidRDefault="00265E84" w:rsidP="00265E84">
      <w:pPr>
        <w:autoSpaceDE w:val="0"/>
        <w:autoSpaceDN w:val="0"/>
        <w:adjustRightInd w:val="0"/>
        <w:spacing w:after="0" w:line="240" w:lineRule="auto"/>
        <w:rPr>
          <w:rFonts w:cstheme="minorHAnsi"/>
          <w:color w:val="434343"/>
        </w:rPr>
      </w:pPr>
    </w:p>
    <w:p w:rsidR="00265E84" w:rsidRPr="00265E84" w:rsidRDefault="00265E84" w:rsidP="00265E84">
      <w:pPr>
        <w:autoSpaceDE w:val="0"/>
        <w:autoSpaceDN w:val="0"/>
        <w:adjustRightInd w:val="0"/>
        <w:spacing w:after="0" w:line="240" w:lineRule="auto"/>
        <w:rPr>
          <w:rFonts w:cstheme="minorHAnsi"/>
          <w:b/>
          <w:color w:val="000000" w:themeColor="text1"/>
        </w:rPr>
      </w:pPr>
      <w:r w:rsidRPr="00265E84">
        <w:rPr>
          <w:rFonts w:cstheme="minorHAnsi"/>
          <w:b/>
          <w:color w:val="000000" w:themeColor="text1"/>
        </w:rPr>
        <w:t>Client Related Documentation</w:t>
      </w:r>
    </w:p>
    <w:p w:rsidR="00637F5B" w:rsidRDefault="00637F5B" w:rsidP="00265E84">
      <w:pPr>
        <w:autoSpaceDE w:val="0"/>
        <w:autoSpaceDN w:val="0"/>
        <w:adjustRightInd w:val="0"/>
        <w:spacing w:after="0" w:line="240" w:lineRule="auto"/>
        <w:rPr>
          <w:rFonts w:cstheme="minorHAnsi"/>
          <w:color w:val="000000"/>
        </w:rPr>
      </w:pPr>
    </w:p>
    <w:p w:rsidR="00265E84" w:rsidRDefault="00265E84" w:rsidP="00265E84">
      <w:pPr>
        <w:autoSpaceDE w:val="0"/>
        <w:autoSpaceDN w:val="0"/>
        <w:adjustRightInd w:val="0"/>
        <w:spacing w:after="0" w:line="240" w:lineRule="auto"/>
        <w:rPr>
          <w:rFonts w:cstheme="minorHAnsi"/>
          <w:color w:val="000000"/>
        </w:rPr>
      </w:pPr>
      <w:r w:rsidRPr="00265E84">
        <w:rPr>
          <w:rFonts w:cstheme="minorHAnsi"/>
          <w:color w:val="000000"/>
        </w:rPr>
        <w:t>The Company will retain the following documentation for at least six years from the date of its</w:t>
      </w:r>
      <w:r w:rsidR="00637F5B">
        <w:rPr>
          <w:rFonts w:cstheme="minorHAnsi"/>
          <w:color w:val="000000"/>
        </w:rPr>
        <w:t xml:space="preserve"> </w:t>
      </w:r>
      <w:r w:rsidRPr="00265E84">
        <w:rPr>
          <w:rFonts w:cstheme="minorHAnsi"/>
          <w:color w:val="000000"/>
        </w:rPr>
        <w:t>creation or the date when it last was in effect, whichever is later:</w:t>
      </w:r>
    </w:p>
    <w:p w:rsidR="00637F5B" w:rsidRPr="00265E84" w:rsidRDefault="00637F5B" w:rsidP="00265E84">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7105"/>
        <w:gridCol w:w="2245"/>
      </w:tblGrid>
      <w:tr w:rsidR="00265E84" w:rsidRPr="00265E84" w:rsidTr="00D5637B">
        <w:tc>
          <w:tcPr>
            <w:tcW w:w="710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Electronic Transaction Records</w:t>
            </w:r>
          </w:p>
        </w:tc>
        <w:tc>
          <w:tcPr>
            <w:tcW w:w="2245" w:type="dxa"/>
          </w:tcPr>
          <w:p w:rsidR="00265E84" w:rsidRPr="00265E84" w:rsidRDefault="00265E84" w:rsidP="00D5637B">
            <w:pPr>
              <w:autoSpaceDE w:val="0"/>
              <w:autoSpaceDN w:val="0"/>
              <w:adjustRightInd w:val="0"/>
              <w:rPr>
                <w:rFonts w:cstheme="minorHAnsi"/>
                <w:color w:val="000000"/>
              </w:rPr>
            </w:pP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Client Profile Information</w:t>
            </w:r>
          </w:p>
        </w:tc>
        <w:tc>
          <w:tcPr>
            <w:tcW w:w="2245" w:type="dxa"/>
          </w:tcPr>
          <w:p w:rsidR="00265E84" w:rsidRPr="00265E84" w:rsidRDefault="00265E84" w:rsidP="00D5637B">
            <w:pPr>
              <w:autoSpaceDE w:val="0"/>
              <w:autoSpaceDN w:val="0"/>
              <w:adjustRightInd w:val="0"/>
              <w:rPr>
                <w:rFonts w:cstheme="minorHAnsi"/>
                <w:color w:val="000000"/>
              </w:rPr>
            </w:pP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Information security and privacy policies and procedures implemented to comply with regulatory requirements</w:t>
            </w:r>
          </w:p>
        </w:tc>
        <w:tc>
          <w:tcPr>
            <w:tcW w:w="2245" w:type="dxa"/>
          </w:tcPr>
          <w:p w:rsidR="00265E84" w:rsidRPr="00265E84" w:rsidRDefault="00265E84" w:rsidP="00D5637B">
            <w:pPr>
              <w:autoSpaceDE w:val="0"/>
              <w:autoSpaceDN w:val="0"/>
              <w:adjustRightInd w:val="0"/>
              <w:rPr>
                <w:rFonts w:cstheme="minorHAnsi"/>
                <w:color w:val="000000"/>
              </w:rPr>
            </w:pPr>
          </w:p>
        </w:tc>
      </w:tr>
      <w:tr w:rsidR="00265E84" w:rsidRPr="00265E84" w:rsidTr="00D5637B">
        <w:tc>
          <w:tcPr>
            <w:tcW w:w="710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Third Party Agreements</w:t>
            </w:r>
          </w:p>
        </w:tc>
        <w:tc>
          <w:tcPr>
            <w:tcW w:w="2245" w:type="dxa"/>
          </w:tcPr>
          <w:p w:rsidR="00265E84" w:rsidRPr="00265E84" w:rsidRDefault="00265E84" w:rsidP="00D5637B">
            <w:pPr>
              <w:autoSpaceDE w:val="0"/>
              <w:autoSpaceDN w:val="0"/>
              <w:adjustRightInd w:val="0"/>
              <w:rPr>
                <w:rFonts w:cstheme="minorHAnsi"/>
                <w:color w:val="000000"/>
              </w:rPr>
            </w:pPr>
          </w:p>
        </w:tc>
      </w:tr>
    </w:tbl>
    <w:p w:rsidR="00265E84" w:rsidRPr="00265E84" w:rsidRDefault="00265E84" w:rsidP="00265E84">
      <w:pPr>
        <w:autoSpaceDE w:val="0"/>
        <w:autoSpaceDN w:val="0"/>
        <w:adjustRightInd w:val="0"/>
        <w:spacing w:after="0" w:line="240" w:lineRule="auto"/>
        <w:rPr>
          <w:rFonts w:cstheme="minorHAnsi"/>
          <w:color w:val="000000"/>
        </w:rPr>
      </w:pPr>
    </w:p>
    <w:p w:rsidR="00265E84" w:rsidRPr="00265E84" w:rsidRDefault="00265E84" w:rsidP="00265E84">
      <w:pPr>
        <w:autoSpaceDE w:val="0"/>
        <w:autoSpaceDN w:val="0"/>
        <w:adjustRightInd w:val="0"/>
        <w:spacing w:after="0" w:line="240" w:lineRule="auto"/>
        <w:rPr>
          <w:rFonts w:cstheme="minorHAnsi"/>
          <w:color w:val="434343"/>
        </w:rPr>
      </w:pPr>
    </w:p>
    <w:p w:rsidR="00637F5B" w:rsidRDefault="00637F5B" w:rsidP="00265E84">
      <w:pPr>
        <w:autoSpaceDE w:val="0"/>
        <w:autoSpaceDN w:val="0"/>
        <w:adjustRightInd w:val="0"/>
        <w:spacing w:after="0" w:line="240" w:lineRule="auto"/>
        <w:rPr>
          <w:rFonts w:cstheme="minorHAnsi"/>
          <w:b/>
          <w:color w:val="000000" w:themeColor="text1"/>
        </w:rPr>
      </w:pPr>
    </w:p>
    <w:p w:rsidR="00637F5B" w:rsidRDefault="00637F5B" w:rsidP="00265E84">
      <w:pPr>
        <w:autoSpaceDE w:val="0"/>
        <w:autoSpaceDN w:val="0"/>
        <w:adjustRightInd w:val="0"/>
        <w:spacing w:after="0" w:line="240" w:lineRule="auto"/>
        <w:rPr>
          <w:rFonts w:cstheme="minorHAnsi"/>
          <w:b/>
          <w:color w:val="000000" w:themeColor="text1"/>
        </w:rPr>
      </w:pPr>
    </w:p>
    <w:p w:rsidR="00265E84" w:rsidRPr="00265E84" w:rsidRDefault="00265E84" w:rsidP="00265E84">
      <w:pPr>
        <w:autoSpaceDE w:val="0"/>
        <w:autoSpaceDN w:val="0"/>
        <w:adjustRightInd w:val="0"/>
        <w:spacing w:after="0" w:line="240" w:lineRule="auto"/>
        <w:rPr>
          <w:rFonts w:cstheme="minorHAnsi"/>
          <w:b/>
          <w:color w:val="000000" w:themeColor="text1"/>
        </w:rPr>
      </w:pPr>
      <w:r w:rsidRPr="00265E84">
        <w:rPr>
          <w:rFonts w:cstheme="minorHAnsi"/>
          <w:b/>
          <w:color w:val="000000" w:themeColor="text1"/>
        </w:rPr>
        <w:lastRenderedPageBreak/>
        <w:t>Audit and Application Logs</w:t>
      </w:r>
    </w:p>
    <w:p w:rsidR="00637F5B" w:rsidRDefault="00637F5B" w:rsidP="00265E84">
      <w:pPr>
        <w:autoSpaceDE w:val="0"/>
        <w:autoSpaceDN w:val="0"/>
        <w:adjustRightInd w:val="0"/>
        <w:spacing w:after="0" w:line="240" w:lineRule="auto"/>
        <w:rPr>
          <w:rFonts w:cstheme="minorHAnsi"/>
          <w:color w:val="000000"/>
        </w:rPr>
      </w:pPr>
    </w:p>
    <w:p w:rsidR="00265E84" w:rsidRDefault="00265E84" w:rsidP="00265E84">
      <w:pPr>
        <w:autoSpaceDE w:val="0"/>
        <w:autoSpaceDN w:val="0"/>
        <w:adjustRightInd w:val="0"/>
        <w:spacing w:after="0" w:line="240" w:lineRule="auto"/>
        <w:rPr>
          <w:rFonts w:cstheme="minorHAnsi"/>
          <w:color w:val="000000"/>
        </w:rPr>
      </w:pPr>
      <w:r w:rsidRPr="00265E84">
        <w:rPr>
          <w:rFonts w:cstheme="minorHAnsi"/>
          <w:color w:val="000000"/>
        </w:rPr>
        <w:t>The Company will retain the following logs for at least one year from the date of its creation or</w:t>
      </w:r>
      <w:r w:rsidR="00637F5B">
        <w:rPr>
          <w:rFonts w:cstheme="minorHAnsi"/>
          <w:color w:val="000000"/>
        </w:rPr>
        <w:t xml:space="preserve"> </w:t>
      </w:r>
      <w:r w:rsidRPr="00265E84">
        <w:rPr>
          <w:rFonts w:cstheme="minorHAnsi"/>
          <w:color w:val="000000"/>
        </w:rPr>
        <w:t>the date when it last was in effect, whichever is later:</w:t>
      </w:r>
    </w:p>
    <w:p w:rsidR="00637F5B" w:rsidRPr="00265E84" w:rsidRDefault="00637F5B" w:rsidP="00265E84">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4675"/>
        <w:gridCol w:w="4675"/>
      </w:tblGrid>
      <w:tr w:rsidR="00265E84" w:rsidRPr="00265E84" w:rsidTr="00D5637B">
        <w:tc>
          <w:tcPr>
            <w:tcW w:w="467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Application logs (access, activity, error)</w:t>
            </w:r>
          </w:p>
        </w:tc>
        <w:tc>
          <w:tcPr>
            <w:tcW w:w="4675" w:type="dxa"/>
          </w:tcPr>
          <w:p w:rsidR="00265E84" w:rsidRPr="00265E84" w:rsidRDefault="00265E84" w:rsidP="00D5637B">
            <w:pPr>
              <w:autoSpaceDE w:val="0"/>
              <w:autoSpaceDN w:val="0"/>
              <w:adjustRightInd w:val="0"/>
              <w:rPr>
                <w:rFonts w:cstheme="minorHAnsi"/>
                <w:color w:val="000000"/>
              </w:rPr>
            </w:pPr>
          </w:p>
        </w:tc>
      </w:tr>
      <w:tr w:rsidR="00265E84" w:rsidRPr="00265E84" w:rsidTr="00D5637B">
        <w:tc>
          <w:tcPr>
            <w:tcW w:w="467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Infrastructure/Server/network Logs</w:t>
            </w:r>
          </w:p>
        </w:tc>
        <w:tc>
          <w:tcPr>
            <w:tcW w:w="4675" w:type="dxa"/>
          </w:tcPr>
          <w:p w:rsidR="00265E84" w:rsidRPr="00265E84" w:rsidRDefault="00265E84" w:rsidP="00D5637B">
            <w:pPr>
              <w:autoSpaceDE w:val="0"/>
              <w:autoSpaceDN w:val="0"/>
              <w:adjustRightInd w:val="0"/>
              <w:rPr>
                <w:rFonts w:cstheme="minorHAnsi"/>
                <w:color w:val="000000"/>
              </w:rPr>
            </w:pPr>
          </w:p>
        </w:tc>
      </w:tr>
      <w:tr w:rsidR="00265E84" w:rsidRPr="00265E84" w:rsidTr="00D5637B">
        <w:tc>
          <w:tcPr>
            <w:tcW w:w="467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Suspicious Transaction Alerts</w:t>
            </w:r>
          </w:p>
        </w:tc>
        <w:tc>
          <w:tcPr>
            <w:tcW w:w="467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Indefinitely</w:t>
            </w:r>
          </w:p>
        </w:tc>
      </w:tr>
      <w:tr w:rsidR="00265E84" w:rsidRPr="00265E84" w:rsidTr="00D5637B">
        <w:tc>
          <w:tcPr>
            <w:tcW w:w="4675" w:type="dxa"/>
          </w:tcPr>
          <w:p w:rsidR="00265E84" w:rsidRPr="00265E84" w:rsidRDefault="00265E84" w:rsidP="00D5637B">
            <w:pPr>
              <w:autoSpaceDE w:val="0"/>
              <w:autoSpaceDN w:val="0"/>
              <w:adjustRightInd w:val="0"/>
              <w:rPr>
                <w:rFonts w:cstheme="minorHAnsi"/>
                <w:color w:val="000000"/>
              </w:rPr>
            </w:pPr>
            <w:r w:rsidRPr="00265E84">
              <w:rPr>
                <w:rFonts w:cstheme="minorHAnsi"/>
                <w:color w:val="000000"/>
              </w:rPr>
              <w:t>All intrusion detection logs</w:t>
            </w:r>
          </w:p>
        </w:tc>
        <w:tc>
          <w:tcPr>
            <w:tcW w:w="4675" w:type="dxa"/>
          </w:tcPr>
          <w:p w:rsidR="00265E84" w:rsidRPr="00265E84" w:rsidRDefault="00265E84" w:rsidP="00D5637B">
            <w:pPr>
              <w:autoSpaceDE w:val="0"/>
              <w:autoSpaceDN w:val="0"/>
              <w:adjustRightInd w:val="0"/>
              <w:rPr>
                <w:rFonts w:cstheme="minorHAnsi"/>
                <w:color w:val="000000"/>
              </w:rPr>
            </w:pPr>
          </w:p>
        </w:tc>
      </w:tr>
    </w:tbl>
    <w:p w:rsidR="00265E84" w:rsidRPr="00265E84" w:rsidRDefault="00265E84" w:rsidP="00265E84">
      <w:pPr>
        <w:autoSpaceDE w:val="0"/>
        <w:autoSpaceDN w:val="0"/>
        <w:adjustRightInd w:val="0"/>
        <w:spacing w:after="0" w:line="240" w:lineRule="auto"/>
        <w:rPr>
          <w:rFonts w:cstheme="minorHAnsi"/>
          <w:color w:val="000000"/>
        </w:rPr>
      </w:pPr>
    </w:p>
    <w:p w:rsidR="00265E84" w:rsidRPr="00265E84" w:rsidRDefault="00265E84" w:rsidP="00265E84">
      <w:pPr>
        <w:rPr>
          <w:rFonts w:cstheme="minorHAnsi"/>
          <w:b/>
          <w:color w:val="000000" w:themeColor="text1"/>
        </w:rPr>
      </w:pPr>
      <w:r w:rsidRPr="00265E84">
        <w:rPr>
          <w:rFonts w:cstheme="minorHAnsi"/>
          <w:b/>
          <w:color w:val="000000" w:themeColor="text1"/>
        </w:rPr>
        <w:t>Data Disposal and Media Sanitization</w:t>
      </w:r>
    </w:p>
    <w:p w:rsidR="00265E84" w:rsidRPr="00265E84" w:rsidRDefault="00265E84" w:rsidP="00265E84">
      <w:pPr>
        <w:rPr>
          <w:rFonts w:cstheme="minorHAnsi"/>
          <w:b/>
          <w:color w:val="000000" w:themeColor="text1"/>
        </w:rPr>
      </w:pPr>
      <w:r w:rsidRPr="00265E84">
        <w:rPr>
          <w:rFonts w:cstheme="minorHAnsi"/>
          <w:color w:val="000000"/>
        </w:rPr>
        <w:t>Any repurposed electronic media must be properly sanitized so that it does not contain any unauthorized accessible data.  Appropriate techniques should be employed in the destruction of electronic media when methods to sanitize are unable to be applied.</w:t>
      </w:r>
    </w:p>
    <w:p w:rsidR="00265E84" w:rsidRDefault="00265E84" w:rsidP="00265E84">
      <w:pPr>
        <w:autoSpaceDE w:val="0"/>
        <w:autoSpaceDN w:val="0"/>
        <w:adjustRightInd w:val="0"/>
        <w:spacing w:after="0" w:line="240" w:lineRule="auto"/>
        <w:rPr>
          <w:rFonts w:cstheme="minorHAnsi"/>
          <w:b/>
          <w:color w:val="000000" w:themeColor="text1"/>
        </w:rPr>
      </w:pPr>
      <w:r w:rsidRPr="00265E84">
        <w:rPr>
          <w:rFonts w:cstheme="minorHAnsi"/>
          <w:b/>
          <w:color w:val="000000" w:themeColor="text1"/>
        </w:rPr>
        <w:t>Repurposing Electronic Media</w:t>
      </w:r>
    </w:p>
    <w:p w:rsidR="00637F5B" w:rsidRPr="00265E84" w:rsidRDefault="00637F5B" w:rsidP="00265E84">
      <w:pPr>
        <w:autoSpaceDE w:val="0"/>
        <w:autoSpaceDN w:val="0"/>
        <w:adjustRightInd w:val="0"/>
        <w:spacing w:after="0" w:line="240" w:lineRule="auto"/>
        <w:rPr>
          <w:rFonts w:cstheme="minorHAnsi"/>
          <w:b/>
          <w:color w:val="000000" w:themeColor="text1"/>
        </w:rPr>
      </w:pPr>
    </w:p>
    <w:p w:rsidR="00265E84" w:rsidRPr="00265E84" w:rsidRDefault="00265E84" w:rsidP="00265E84">
      <w:pPr>
        <w:autoSpaceDE w:val="0"/>
        <w:autoSpaceDN w:val="0"/>
        <w:adjustRightInd w:val="0"/>
        <w:spacing w:after="0" w:line="240" w:lineRule="auto"/>
        <w:rPr>
          <w:rFonts w:cstheme="minorHAnsi"/>
          <w:color w:val="000000"/>
        </w:rPr>
      </w:pPr>
      <w:r w:rsidRPr="00265E84">
        <w:rPr>
          <w:rFonts w:cstheme="minorHAnsi"/>
          <w:color w:val="000000"/>
        </w:rPr>
        <w:t xml:space="preserve">Electronic Media must be </w:t>
      </w:r>
      <w:r w:rsidRPr="00265E84">
        <w:rPr>
          <w:rFonts w:cstheme="minorHAnsi"/>
          <w:i/>
          <w:iCs/>
          <w:color w:val="000000"/>
          <w:lang w:bidi="he-IL"/>
        </w:rPr>
        <w:t xml:space="preserve">sanitized </w:t>
      </w:r>
      <w:r w:rsidRPr="00265E84">
        <w:rPr>
          <w:rFonts w:cstheme="minorHAnsi"/>
          <w:color w:val="000000"/>
        </w:rPr>
        <w:t>before being repurposed. Data on devices that are no longer</w:t>
      </w:r>
      <w:r w:rsidR="00637F5B">
        <w:rPr>
          <w:rFonts w:cstheme="minorHAnsi"/>
          <w:color w:val="000000"/>
        </w:rPr>
        <w:t xml:space="preserve"> </w:t>
      </w:r>
      <w:r w:rsidRPr="00265E84">
        <w:rPr>
          <w:rFonts w:cstheme="minorHAnsi"/>
          <w:color w:val="000000"/>
        </w:rPr>
        <w:t>operational must be sanitized before the devices are reused. Sanitization must be done using</w:t>
      </w:r>
      <w:r w:rsidR="00637F5B">
        <w:rPr>
          <w:rFonts w:cstheme="minorHAnsi"/>
          <w:color w:val="000000"/>
        </w:rPr>
        <w:t xml:space="preserve"> </w:t>
      </w:r>
      <w:r w:rsidRPr="00265E84">
        <w:rPr>
          <w:rFonts w:cstheme="minorHAnsi"/>
          <w:color w:val="000000"/>
        </w:rPr>
        <w:t>procedures established by the Guidelines for Media Sanitization Recommendations from the</w:t>
      </w:r>
      <w:r w:rsidR="00637F5B">
        <w:rPr>
          <w:rFonts w:cstheme="minorHAnsi"/>
          <w:color w:val="000000"/>
        </w:rPr>
        <w:t xml:space="preserve"> </w:t>
      </w:r>
      <w:hyperlink r:id="rId5" w:history="1">
        <w:r w:rsidRPr="00637F5B">
          <w:rPr>
            <w:rStyle w:val="Hyperlink"/>
            <w:rFonts w:cstheme="minorHAnsi"/>
          </w:rPr>
          <w:t>National Institute of Standards and Technology, NIST Special Publication 800-88.</w:t>
        </w:r>
      </w:hyperlink>
    </w:p>
    <w:p w:rsidR="00265E84" w:rsidRPr="00265E84" w:rsidRDefault="00265E84" w:rsidP="00265E84">
      <w:pPr>
        <w:autoSpaceDE w:val="0"/>
        <w:autoSpaceDN w:val="0"/>
        <w:adjustRightInd w:val="0"/>
        <w:spacing w:after="0" w:line="240" w:lineRule="auto"/>
        <w:rPr>
          <w:rFonts w:cstheme="minorHAnsi"/>
          <w:color w:val="000000"/>
        </w:rPr>
      </w:pPr>
    </w:p>
    <w:p w:rsidR="00265E84" w:rsidRDefault="00265E84" w:rsidP="00265E84">
      <w:pPr>
        <w:autoSpaceDE w:val="0"/>
        <w:autoSpaceDN w:val="0"/>
        <w:adjustRightInd w:val="0"/>
        <w:spacing w:after="0" w:line="240" w:lineRule="auto"/>
        <w:rPr>
          <w:rFonts w:cstheme="minorHAnsi"/>
          <w:b/>
          <w:color w:val="000000" w:themeColor="text1"/>
        </w:rPr>
      </w:pPr>
      <w:r w:rsidRPr="00265E84">
        <w:rPr>
          <w:rFonts w:cstheme="minorHAnsi"/>
          <w:b/>
          <w:color w:val="000000" w:themeColor="text1"/>
        </w:rPr>
        <w:t>Disposal &amp; Destruction of Faulty Electronic Media</w:t>
      </w:r>
    </w:p>
    <w:p w:rsidR="00637F5B" w:rsidRPr="00265E84" w:rsidRDefault="00637F5B" w:rsidP="00265E84">
      <w:pPr>
        <w:autoSpaceDE w:val="0"/>
        <w:autoSpaceDN w:val="0"/>
        <w:adjustRightInd w:val="0"/>
        <w:spacing w:after="0" w:line="240" w:lineRule="auto"/>
        <w:rPr>
          <w:rFonts w:cstheme="minorHAnsi"/>
          <w:b/>
          <w:color w:val="000000" w:themeColor="text1"/>
        </w:rPr>
      </w:pPr>
    </w:p>
    <w:p w:rsidR="00265E84" w:rsidRDefault="00265E84" w:rsidP="00637F5B">
      <w:pPr>
        <w:autoSpaceDE w:val="0"/>
        <w:autoSpaceDN w:val="0"/>
        <w:adjustRightInd w:val="0"/>
        <w:spacing w:after="0" w:line="240" w:lineRule="auto"/>
        <w:rPr>
          <w:rFonts w:cstheme="minorHAnsi"/>
          <w:color w:val="000000"/>
        </w:rPr>
      </w:pPr>
      <w:r w:rsidRPr="00265E84">
        <w:rPr>
          <w:rFonts w:cstheme="minorHAnsi"/>
          <w:color w:val="000000"/>
        </w:rPr>
        <w:t xml:space="preserve">Electronic Media must be </w:t>
      </w:r>
      <w:r w:rsidRPr="00265E84">
        <w:rPr>
          <w:rFonts w:cstheme="minorHAnsi"/>
          <w:i/>
          <w:iCs/>
          <w:color w:val="000000"/>
          <w:lang w:bidi="he-IL"/>
        </w:rPr>
        <w:t xml:space="preserve">destroyed </w:t>
      </w:r>
      <w:r w:rsidRPr="00265E84">
        <w:rPr>
          <w:rFonts w:cstheme="minorHAnsi"/>
          <w:color w:val="000000"/>
        </w:rPr>
        <w:t>when the device is faulty and contains operational Data.</w:t>
      </w:r>
      <w:r w:rsidR="00637F5B">
        <w:rPr>
          <w:rFonts w:cstheme="minorHAnsi"/>
          <w:color w:val="000000"/>
        </w:rPr>
        <w:t xml:space="preserve"> </w:t>
      </w:r>
      <w:r w:rsidRPr="00265E84">
        <w:rPr>
          <w:rFonts w:cstheme="minorHAnsi"/>
          <w:color w:val="000000"/>
        </w:rPr>
        <w:t>There are many different types, techniques, and procedures for media Destruction please see</w:t>
      </w:r>
      <w:r w:rsidR="00637F5B">
        <w:rPr>
          <w:rFonts w:cstheme="minorHAnsi"/>
          <w:color w:val="000000"/>
        </w:rPr>
        <w:t xml:space="preserve"> </w:t>
      </w:r>
      <w:r w:rsidRPr="00265E84">
        <w:rPr>
          <w:rFonts w:cstheme="minorHAnsi"/>
          <w:color w:val="000000"/>
        </w:rPr>
        <w:t>the above NIST document for details. The application of Destructive techniques may be the only</w:t>
      </w:r>
      <w:r w:rsidR="00637F5B">
        <w:rPr>
          <w:rFonts w:cstheme="minorHAnsi"/>
          <w:color w:val="000000"/>
        </w:rPr>
        <w:t xml:space="preserve"> </w:t>
      </w:r>
      <w:r w:rsidRPr="00265E84">
        <w:rPr>
          <w:rFonts w:cstheme="minorHAnsi"/>
          <w:color w:val="000000"/>
        </w:rPr>
        <w:t>option when the media fails and other Clear or Purge techniques cannot be effectively applied to</w:t>
      </w:r>
      <w:r w:rsidR="00637F5B">
        <w:rPr>
          <w:rFonts w:cstheme="minorHAnsi"/>
          <w:color w:val="000000"/>
        </w:rPr>
        <w:t xml:space="preserve"> </w:t>
      </w:r>
      <w:r w:rsidRPr="00265E84">
        <w:rPr>
          <w:rFonts w:cstheme="minorHAnsi"/>
          <w:color w:val="000000"/>
        </w:rPr>
        <w:t>the media, or when the verification of Clear or Purge methods fails (for known or unknown</w:t>
      </w:r>
      <w:r w:rsidR="00637F5B">
        <w:rPr>
          <w:rFonts w:cstheme="minorHAnsi"/>
          <w:color w:val="000000"/>
        </w:rPr>
        <w:t xml:space="preserve"> </w:t>
      </w:r>
      <w:r w:rsidRPr="00265E84">
        <w:rPr>
          <w:rFonts w:cstheme="minorHAnsi"/>
          <w:color w:val="000000"/>
        </w:rPr>
        <w:t>reasons).</w:t>
      </w:r>
    </w:p>
    <w:p w:rsidR="00637F5B" w:rsidRPr="00265E84" w:rsidRDefault="00637F5B" w:rsidP="00637F5B">
      <w:pPr>
        <w:autoSpaceDE w:val="0"/>
        <w:autoSpaceDN w:val="0"/>
        <w:adjustRightInd w:val="0"/>
        <w:spacing w:after="0" w:line="240" w:lineRule="auto"/>
        <w:rPr>
          <w:rFonts w:cstheme="minorHAnsi"/>
        </w:rPr>
      </w:pPr>
    </w:p>
    <w:p w:rsidR="00265E84" w:rsidRPr="00265E84" w:rsidRDefault="00265E84" w:rsidP="00265E84">
      <w:pPr>
        <w:spacing w:after="0" w:line="240" w:lineRule="auto"/>
        <w:rPr>
          <w:rFonts w:cstheme="minorHAnsi"/>
          <w:b/>
        </w:rPr>
      </w:pPr>
      <w:r w:rsidRPr="00265E84">
        <w:rPr>
          <w:rFonts w:cstheme="minorHAnsi"/>
          <w:b/>
        </w:rPr>
        <w:t>Documentation</w:t>
      </w:r>
    </w:p>
    <w:p w:rsidR="00637F5B" w:rsidRDefault="00637F5B" w:rsidP="00265E84">
      <w:pPr>
        <w:spacing w:after="0" w:line="240" w:lineRule="auto"/>
      </w:pPr>
    </w:p>
    <w:p w:rsidR="00265E84" w:rsidRDefault="00265E84" w:rsidP="00265E84">
      <w:pPr>
        <w:spacing w:after="0" w:line="240" w:lineRule="auto"/>
      </w:pPr>
      <w:r w:rsidRPr="00265E84">
        <w:t xml:space="preserve">Following sanitization, a certificate of media disposition should be completed for each piece of electronic media that has been sanitized.  The certificate should record information about the media such as:  </w:t>
      </w:r>
    </w:p>
    <w:p w:rsidR="00637F5B" w:rsidRPr="00265E84" w:rsidRDefault="00637F5B" w:rsidP="00265E84">
      <w:pPr>
        <w:spacing w:after="0" w:line="240" w:lineRule="auto"/>
      </w:pPr>
    </w:p>
    <w:p w:rsidR="00265E84" w:rsidRPr="00265E84" w:rsidRDefault="00265E84" w:rsidP="00637F5B">
      <w:pPr>
        <w:pStyle w:val="ListParagraph"/>
        <w:numPr>
          <w:ilvl w:val="0"/>
          <w:numId w:val="6"/>
        </w:numPr>
        <w:spacing w:after="0" w:line="240" w:lineRule="auto"/>
      </w:pPr>
      <w:r w:rsidRPr="00265E84">
        <w:t xml:space="preserve">Manufacturer/Model </w:t>
      </w:r>
    </w:p>
    <w:p w:rsidR="00265E84" w:rsidRPr="00265E84" w:rsidRDefault="00265E84" w:rsidP="00637F5B">
      <w:pPr>
        <w:pStyle w:val="ListParagraph"/>
        <w:numPr>
          <w:ilvl w:val="0"/>
          <w:numId w:val="6"/>
        </w:numPr>
        <w:spacing w:after="0" w:line="240" w:lineRule="auto"/>
      </w:pPr>
      <w:r w:rsidRPr="00265E84">
        <w:t xml:space="preserve">Serial Number </w:t>
      </w:r>
    </w:p>
    <w:p w:rsidR="00265E84" w:rsidRPr="00265E84" w:rsidRDefault="00265E84" w:rsidP="00637F5B">
      <w:pPr>
        <w:pStyle w:val="ListParagraph"/>
        <w:numPr>
          <w:ilvl w:val="0"/>
          <w:numId w:val="6"/>
        </w:numPr>
        <w:spacing w:after="0" w:line="240" w:lineRule="auto"/>
      </w:pPr>
      <w:r w:rsidRPr="00265E84">
        <w:t xml:space="preserve">Media Type (i.e., magnetic, flash memory, hybrid, etc.) </w:t>
      </w:r>
    </w:p>
    <w:p w:rsidR="00265E84" w:rsidRPr="00265E84" w:rsidRDefault="00265E84" w:rsidP="00637F5B">
      <w:pPr>
        <w:pStyle w:val="ListParagraph"/>
        <w:numPr>
          <w:ilvl w:val="0"/>
          <w:numId w:val="6"/>
        </w:numPr>
        <w:spacing w:after="0" w:line="240" w:lineRule="auto"/>
      </w:pPr>
      <w:r w:rsidRPr="00265E84">
        <w:t>Media Source (i.e., user or computer the media came from)</w:t>
      </w:r>
    </w:p>
    <w:p w:rsidR="00265E84" w:rsidRPr="00265E84" w:rsidRDefault="00265E84" w:rsidP="00637F5B">
      <w:pPr>
        <w:pStyle w:val="ListParagraph"/>
        <w:numPr>
          <w:ilvl w:val="0"/>
          <w:numId w:val="6"/>
        </w:numPr>
        <w:spacing w:after="0" w:line="240" w:lineRule="auto"/>
      </w:pPr>
      <w:r w:rsidRPr="00265E84">
        <w:t xml:space="preserve">Sanitization Description (i.e., Clear, Purge, Destroy) </w:t>
      </w:r>
    </w:p>
    <w:p w:rsidR="00265E84" w:rsidRPr="00265E84" w:rsidRDefault="00265E84" w:rsidP="00637F5B">
      <w:pPr>
        <w:pStyle w:val="ListParagraph"/>
        <w:numPr>
          <w:ilvl w:val="0"/>
          <w:numId w:val="6"/>
        </w:numPr>
        <w:spacing w:after="0" w:line="240" w:lineRule="auto"/>
      </w:pPr>
      <w:r w:rsidRPr="00265E84">
        <w:t xml:space="preserve">Method Used (i.e., degauss, overwrite, block erase, crypto erase, etc.) </w:t>
      </w:r>
    </w:p>
    <w:p w:rsidR="00265E84" w:rsidRPr="00265E84" w:rsidRDefault="00265E84" w:rsidP="00637F5B">
      <w:pPr>
        <w:pStyle w:val="ListParagraph"/>
        <w:numPr>
          <w:ilvl w:val="0"/>
          <w:numId w:val="6"/>
        </w:numPr>
        <w:spacing w:after="0" w:line="240" w:lineRule="auto"/>
      </w:pPr>
      <w:r w:rsidRPr="00265E84">
        <w:t>Tool Used (including version)</w:t>
      </w:r>
    </w:p>
    <w:p w:rsidR="00265E84" w:rsidRPr="00265E84" w:rsidRDefault="00265E84" w:rsidP="00637F5B">
      <w:pPr>
        <w:pStyle w:val="ListParagraph"/>
        <w:numPr>
          <w:ilvl w:val="0"/>
          <w:numId w:val="6"/>
        </w:numPr>
        <w:spacing w:after="0" w:line="240" w:lineRule="auto"/>
      </w:pPr>
      <w:r w:rsidRPr="00265E84">
        <w:t xml:space="preserve">Verification Method (i.e., full, quick sampling, etc.) </w:t>
      </w:r>
    </w:p>
    <w:p w:rsidR="00265E84" w:rsidRPr="00265E84" w:rsidRDefault="00265E84" w:rsidP="00637F5B">
      <w:pPr>
        <w:pStyle w:val="ListParagraph"/>
        <w:numPr>
          <w:ilvl w:val="0"/>
          <w:numId w:val="6"/>
        </w:numPr>
        <w:spacing w:after="0" w:line="240" w:lineRule="auto"/>
      </w:pPr>
      <w:r w:rsidRPr="00265E84">
        <w:t>Identification of person completing sanitization and verification, date and contact information</w:t>
      </w:r>
    </w:p>
    <w:p w:rsidR="00265E84" w:rsidRPr="00265E84" w:rsidRDefault="00265E84" w:rsidP="00637F5B">
      <w:pPr>
        <w:pStyle w:val="ListParagraph"/>
        <w:numPr>
          <w:ilvl w:val="0"/>
          <w:numId w:val="6"/>
        </w:numPr>
        <w:spacing w:after="0" w:line="240" w:lineRule="auto"/>
      </w:pPr>
      <w:r w:rsidRPr="00265E84">
        <w:t>Media Sanitization documentation should be retained indefinitely.</w:t>
      </w:r>
    </w:p>
    <w:p w:rsidR="00265E84" w:rsidRDefault="00265E84" w:rsidP="000F5D84">
      <w:pPr>
        <w:rPr>
          <w:b/>
        </w:rPr>
      </w:pPr>
    </w:p>
    <w:p w:rsidR="000F1643" w:rsidRPr="000F1643" w:rsidRDefault="000F1643" w:rsidP="000F5D84">
      <w:pPr>
        <w:rPr>
          <w:b/>
        </w:rPr>
      </w:pPr>
      <w:r w:rsidRPr="000F1643">
        <w:rPr>
          <w:b/>
        </w:rPr>
        <w:t>Purpose</w:t>
      </w:r>
    </w:p>
    <w:p w:rsidR="00265E84" w:rsidRPr="00265E84" w:rsidRDefault="00265E84" w:rsidP="000F5D84">
      <w:r w:rsidRPr="00265E84">
        <w:t xml:space="preserve">The purpose of this Policy is to ensure that necessary records and documents are adequately protected and maintained and to ensure that records that are no longer needed by the company or are of no value are discarded at the proper time. This Policy is also for the purpose of aiding employees in understanding their obligations in retaining electronic </w:t>
      </w:r>
      <w:r w:rsidRPr="00265E84">
        <w:lastRenderedPageBreak/>
        <w:t xml:space="preserve">documents - including e-mail, messaging, Web files, text files, sound and movie files, PDF documents, client files and all other formatted files. </w:t>
      </w:r>
    </w:p>
    <w:p w:rsidR="000F1643" w:rsidRPr="000F1643" w:rsidRDefault="000F1643" w:rsidP="000F5D84">
      <w:pPr>
        <w:rPr>
          <w:b/>
        </w:rPr>
      </w:pPr>
      <w:r w:rsidRPr="000F1643">
        <w:rPr>
          <w:b/>
        </w:rPr>
        <w:t>Scope</w:t>
      </w:r>
    </w:p>
    <w:p w:rsidR="000F1643" w:rsidRDefault="000F1643" w:rsidP="000F5D84">
      <w:r>
        <w:t>The scope of this policy and procedure is all data and removable media within &lt;COMPANY NAME&gt;’s systems.</w:t>
      </w:r>
    </w:p>
    <w:p w:rsidR="000F5D84" w:rsidRPr="009F3D77" w:rsidRDefault="000F5D84" w:rsidP="000F5D84">
      <w:pPr>
        <w:rPr>
          <w:b/>
        </w:rPr>
      </w:pPr>
      <w:r w:rsidRPr="009F3D77">
        <w:rPr>
          <w:b/>
        </w:rPr>
        <w:t>Applicable Standards</w:t>
      </w:r>
    </w:p>
    <w:p w:rsidR="00637F5B" w:rsidRPr="009F3D77" w:rsidRDefault="000F5D84" w:rsidP="009F3D77">
      <w:pPr>
        <w:spacing w:after="0"/>
        <w:rPr>
          <w:u w:val="single"/>
        </w:rPr>
      </w:pPr>
      <w:r w:rsidRPr="009F3D77">
        <w:rPr>
          <w:u w:val="single"/>
        </w:rPr>
        <w:t>Applicable Standards from the HI</w:t>
      </w:r>
      <w:r w:rsidR="009F3D77" w:rsidRPr="009F3D77">
        <w:rPr>
          <w:u w:val="single"/>
        </w:rPr>
        <w:t>TRUST Common Security Framework</w:t>
      </w:r>
      <w:bookmarkStart w:id="0" w:name="_GoBack"/>
      <w:bookmarkEnd w:id="0"/>
    </w:p>
    <w:p w:rsidR="00265E84" w:rsidRPr="005E2849" w:rsidRDefault="00265E84" w:rsidP="00637F5B">
      <w:pPr>
        <w:pStyle w:val="ListParagraph"/>
        <w:numPr>
          <w:ilvl w:val="0"/>
          <w:numId w:val="7"/>
        </w:numPr>
      </w:pPr>
      <w:r w:rsidRPr="005E2849">
        <w:t>01.v - Information Access Restriction</w:t>
      </w:r>
    </w:p>
    <w:p w:rsidR="000F5D84" w:rsidRPr="009F3D77" w:rsidRDefault="000F5D84" w:rsidP="009F3D77">
      <w:pPr>
        <w:spacing w:after="0"/>
        <w:rPr>
          <w:u w:val="single"/>
        </w:rPr>
      </w:pPr>
      <w:r w:rsidRPr="009F3D77">
        <w:rPr>
          <w:u w:val="single"/>
        </w:rPr>
        <w:t>Applicable Standards from the HI</w:t>
      </w:r>
      <w:r w:rsidR="009F3D77" w:rsidRPr="009F3D77">
        <w:rPr>
          <w:u w:val="single"/>
        </w:rPr>
        <w:t>PAA Security Rule</w:t>
      </w:r>
    </w:p>
    <w:p w:rsidR="000F1643" w:rsidRDefault="00265E84" w:rsidP="00637F5B">
      <w:pPr>
        <w:pStyle w:val="ListParagraph"/>
        <w:numPr>
          <w:ilvl w:val="0"/>
          <w:numId w:val="7"/>
        </w:numPr>
      </w:pPr>
      <w:r>
        <w:t>No Specific Standards</w:t>
      </w:r>
    </w:p>
    <w:p w:rsidR="009F3D77" w:rsidRPr="009F3D77" w:rsidRDefault="009F3D77" w:rsidP="009F3D77">
      <w:pPr>
        <w:pStyle w:val="Heading1"/>
        <w:spacing w:before="211"/>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9F3D77" w:rsidRPr="000F5D84" w:rsidRDefault="009F3D77" w:rsidP="000F5D84"/>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584308"/>
    <w:multiLevelType w:val="hybridMultilevel"/>
    <w:tmpl w:val="CCE2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A6200"/>
    <w:multiLevelType w:val="hybridMultilevel"/>
    <w:tmpl w:val="EE62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7D155470"/>
    <w:multiLevelType w:val="hybridMultilevel"/>
    <w:tmpl w:val="2020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1643"/>
    <w:rsid w:val="000F5D84"/>
    <w:rsid w:val="001159E6"/>
    <w:rsid w:val="00214ED1"/>
    <w:rsid w:val="00263952"/>
    <w:rsid w:val="00265E84"/>
    <w:rsid w:val="00296149"/>
    <w:rsid w:val="002C4517"/>
    <w:rsid w:val="00415BD5"/>
    <w:rsid w:val="00427334"/>
    <w:rsid w:val="004B7E50"/>
    <w:rsid w:val="005E2849"/>
    <w:rsid w:val="00637F5B"/>
    <w:rsid w:val="00714B82"/>
    <w:rsid w:val="00776F0B"/>
    <w:rsid w:val="009F3D77"/>
    <w:rsid w:val="00A62837"/>
    <w:rsid w:val="00B06A8D"/>
    <w:rsid w:val="00B23269"/>
    <w:rsid w:val="00C00EEA"/>
    <w:rsid w:val="00E9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B90D"/>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table" w:styleId="TableGrid">
    <w:name w:val="Table Grid"/>
    <w:basedOn w:val="TableNormal"/>
    <w:uiPriority w:val="39"/>
    <w:rsid w:val="0026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src.nist.gov/publications/detail/sp/800-88/rev-1/fi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4</cp:revision>
  <dcterms:created xsi:type="dcterms:W3CDTF">2020-01-26T23:17:00Z</dcterms:created>
  <dcterms:modified xsi:type="dcterms:W3CDTF">2021-07-11T23:08:00Z</dcterms:modified>
</cp:coreProperties>
</file>