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5E2849" w:rsidRDefault="00A62422" w:rsidP="00CF5AB0">
      <w:pPr>
        <w:pStyle w:val="Heading1"/>
        <w:jc w:val="center"/>
      </w:pPr>
      <w:r>
        <w:t xml:space="preserve">IS-19 </w:t>
      </w:r>
      <w:r w:rsidR="00CF5AB0">
        <w:t>Third Party Policy</w:t>
      </w:r>
    </w:p>
    <w:p w:rsidR="00CF5AB0" w:rsidRDefault="00CF5AB0" w:rsidP="000F5D84">
      <w:pPr>
        <w:pStyle w:val="Default"/>
        <w:spacing w:after="22"/>
        <w:rPr>
          <w:b/>
          <w:sz w:val="20"/>
          <w:szCs w:val="20"/>
        </w:rPr>
      </w:pPr>
    </w:p>
    <w:p w:rsidR="000F5D84" w:rsidRPr="00A62422" w:rsidRDefault="00A62422" w:rsidP="00CF5AB0">
      <w:pPr>
        <w:pStyle w:val="Default"/>
        <w:spacing w:after="160"/>
        <w:rPr>
          <w:b/>
          <w:sz w:val="20"/>
          <w:szCs w:val="20"/>
        </w:rPr>
      </w:pPr>
      <w:r w:rsidRPr="00A62422">
        <w:rPr>
          <w:b/>
          <w:sz w:val="20"/>
          <w:szCs w:val="20"/>
        </w:rPr>
        <w:t>19.1 Third Party Policy</w:t>
      </w:r>
    </w:p>
    <w:p w:rsidR="00A62422" w:rsidRPr="00A62422" w:rsidRDefault="00A62422" w:rsidP="00A62422">
      <w:r>
        <w:t>&lt;COMPANY NAME&gt;</w:t>
      </w:r>
      <w:r w:rsidRPr="00A62422">
        <w:t xml:space="preserve"> makes every effort to assure all 3rd party organizations are compliant and do not compromise the integrity, security, and privacy of </w:t>
      </w:r>
      <w:r>
        <w:t>&lt;COMPANY NAME&gt;</w:t>
      </w:r>
      <w:r w:rsidRPr="00A62422">
        <w:t xml:space="preserve"> or </w:t>
      </w:r>
      <w:r>
        <w:t>&lt;COMPANY NAME&gt;</w:t>
      </w:r>
      <w:r w:rsidRPr="00A62422">
        <w:t xml:space="preserve"> Customer data. 3rd Parties include Customers, Partners, Subcontractors, and Contracted Developers.</w:t>
      </w:r>
    </w:p>
    <w:p w:rsidR="00A62422" w:rsidRPr="00A62422" w:rsidRDefault="00A62422" w:rsidP="00A62422">
      <w:pPr>
        <w:rPr>
          <w:b/>
        </w:rPr>
      </w:pPr>
      <w:r>
        <w:rPr>
          <w:b/>
        </w:rPr>
        <w:t xml:space="preserve">19.2 </w:t>
      </w:r>
      <w:r w:rsidRPr="00A62422">
        <w:rPr>
          <w:b/>
        </w:rPr>
        <w:t xml:space="preserve">Policies to Assure 3rd Parties Support </w:t>
      </w:r>
      <w:r>
        <w:rPr>
          <w:b/>
        </w:rPr>
        <w:t>Organizational Compliance</w:t>
      </w:r>
    </w:p>
    <w:p w:rsidR="00A62422" w:rsidRPr="00A62422" w:rsidRDefault="00A62422" w:rsidP="00CF5AB0">
      <w:pPr>
        <w:pStyle w:val="ListParagraph"/>
        <w:numPr>
          <w:ilvl w:val="0"/>
          <w:numId w:val="16"/>
        </w:numPr>
        <w:shd w:val="clear" w:color="auto" w:fill="FFFFFF"/>
        <w:spacing w:after="100" w:afterAutospacing="1" w:line="240" w:lineRule="auto"/>
      </w:pPr>
      <w:r w:rsidRPr="00A62422">
        <w:t xml:space="preserve">The following steps are required before 3rd parties are granted access to any </w:t>
      </w:r>
      <w:r>
        <w:t>&lt;COMPANY NAME&gt;</w:t>
      </w:r>
      <w:r w:rsidRPr="00A62422">
        <w:t xml:space="preserve"> systems:</w:t>
      </w:r>
    </w:p>
    <w:p w:rsidR="00A62422" w:rsidRPr="00A62422" w:rsidRDefault="00A62422" w:rsidP="00CF5AB0">
      <w:pPr>
        <w:pStyle w:val="ListParagraph"/>
        <w:numPr>
          <w:ilvl w:val="1"/>
          <w:numId w:val="16"/>
        </w:numPr>
        <w:shd w:val="clear" w:color="auto" w:fill="FFFFFF"/>
        <w:spacing w:after="100" w:afterAutospacing="1" w:line="240" w:lineRule="auto"/>
      </w:pPr>
      <w:r w:rsidRPr="00A62422">
        <w:t>Due diligence with the 3rd party;</w:t>
      </w:r>
    </w:p>
    <w:p w:rsidR="00A62422" w:rsidRPr="00A62422" w:rsidRDefault="00A62422" w:rsidP="00CF5AB0">
      <w:pPr>
        <w:pStyle w:val="ListParagraph"/>
        <w:numPr>
          <w:ilvl w:val="1"/>
          <w:numId w:val="16"/>
        </w:numPr>
        <w:shd w:val="clear" w:color="auto" w:fill="FFFFFF"/>
        <w:spacing w:after="100" w:afterAutospacing="1" w:line="240" w:lineRule="auto"/>
      </w:pPr>
      <w:r w:rsidRPr="00A62422">
        <w:t>Controls implemented to maintain compliance;</w:t>
      </w:r>
    </w:p>
    <w:p w:rsidR="00A62422" w:rsidRPr="00A62422" w:rsidRDefault="00A62422" w:rsidP="00CF5AB0">
      <w:pPr>
        <w:pStyle w:val="ListParagraph"/>
        <w:numPr>
          <w:ilvl w:val="1"/>
          <w:numId w:val="16"/>
        </w:numPr>
        <w:shd w:val="clear" w:color="auto" w:fill="FFFFFF"/>
        <w:spacing w:after="100" w:afterAutospacing="1" w:line="240" w:lineRule="auto"/>
      </w:pPr>
      <w:r w:rsidRPr="00A62422">
        <w:t>Written agreements, with appropriate security requirements, are executed.</w:t>
      </w:r>
    </w:p>
    <w:p w:rsidR="00A62422" w:rsidRPr="00A62422" w:rsidRDefault="00A62422" w:rsidP="00CF5AB0">
      <w:pPr>
        <w:pStyle w:val="ListParagraph"/>
        <w:numPr>
          <w:ilvl w:val="0"/>
          <w:numId w:val="16"/>
        </w:numPr>
        <w:shd w:val="clear" w:color="auto" w:fill="FFFFFF"/>
        <w:spacing w:after="100" w:afterAutospacing="1" w:line="240" w:lineRule="auto"/>
      </w:pPr>
      <w:r w:rsidRPr="00A62422">
        <w:t xml:space="preserve">All connections and data in transit between the </w:t>
      </w:r>
      <w:r>
        <w:t>&lt;COMPANY NAME&gt;</w:t>
      </w:r>
      <w:r w:rsidRPr="00A62422">
        <w:t xml:space="preserve"> Platform and 3rd parties are encrypted end to end.</w:t>
      </w:r>
    </w:p>
    <w:p w:rsidR="00A62422" w:rsidRPr="00A62422" w:rsidRDefault="00A62422" w:rsidP="00CF5AB0">
      <w:pPr>
        <w:pStyle w:val="ListParagraph"/>
        <w:numPr>
          <w:ilvl w:val="0"/>
          <w:numId w:val="16"/>
        </w:numPr>
        <w:shd w:val="clear" w:color="auto" w:fill="FFFFFF"/>
        <w:spacing w:after="100" w:afterAutospacing="1" w:line="240" w:lineRule="auto"/>
      </w:pPr>
      <w:r w:rsidRPr="00A62422">
        <w:t>Access granted to external parties is limited to the minimum necessary and granted only for the duration required.</w:t>
      </w:r>
    </w:p>
    <w:p w:rsidR="00A62422" w:rsidRPr="00A62422" w:rsidRDefault="00A62422" w:rsidP="00CF5AB0">
      <w:pPr>
        <w:pStyle w:val="ListParagraph"/>
        <w:numPr>
          <w:ilvl w:val="0"/>
          <w:numId w:val="16"/>
        </w:numPr>
        <w:shd w:val="clear" w:color="auto" w:fill="FFFFFF"/>
        <w:spacing w:after="100" w:afterAutospacing="1" w:line="240" w:lineRule="auto"/>
      </w:pPr>
      <w:r w:rsidRPr="00A62422">
        <w:t>A standard business associate agreement with Customers and Partners is defined and includes the required security controls in accordance with the organization’s security policies. Additionally, responsibility is assigned in these agreements.</w:t>
      </w:r>
    </w:p>
    <w:p w:rsidR="00A62422" w:rsidRPr="00A62422" w:rsidRDefault="00A62422" w:rsidP="00CF5AB0">
      <w:pPr>
        <w:pStyle w:val="ListParagraph"/>
        <w:numPr>
          <w:ilvl w:val="0"/>
          <w:numId w:val="16"/>
        </w:numPr>
        <w:shd w:val="clear" w:color="auto" w:fill="FFFFFF"/>
        <w:spacing w:after="100" w:afterAutospacing="1" w:line="240" w:lineRule="auto"/>
      </w:pPr>
      <w:r>
        <w:t>&lt;COMPANY NAME&gt;</w:t>
      </w:r>
      <w:r w:rsidRPr="00A62422">
        <w:t xml:space="preserve"> has Service Level Agreements (SLAs) with Subcontractors with an agreed service arrangement addressing liability, service definitions, security controls, and aspects of services management.</w:t>
      </w:r>
    </w:p>
    <w:p w:rsidR="00A62422" w:rsidRPr="00A62422" w:rsidRDefault="00A62422" w:rsidP="00CF5AB0">
      <w:pPr>
        <w:pStyle w:val="ListParagraph"/>
        <w:numPr>
          <w:ilvl w:val="1"/>
          <w:numId w:val="16"/>
        </w:numPr>
        <w:shd w:val="clear" w:color="auto" w:fill="FFFFFF"/>
        <w:spacing w:after="100" w:afterAutospacing="1" w:line="240" w:lineRule="auto"/>
      </w:pPr>
      <w:r>
        <w:t>&lt;COMPANY NAME&gt;</w:t>
      </w:r>
      <w:r w:rsidRPr="00A62422">
        <w:t xml:space="preserve"> utilizes monitoring tools to regularly evaluate Subcontractors against relevant SLAs.</w:t>
      </w:r>
    </w:p>
    <w:p w:rsidR="00A62422" w:rsidRPr="00A62422" w:rsidRDefault="00A62422" w:rsidP="00CF5AB0">
      <w:pPr>
        <w:pStyle w:val="ListParagraph"/>
        <w:numPr>
          <w:ilvl w:val="0"/>
          <w:numId w:val="16"/>
        </w:numPr>
        <w:shd w:val="clear" w:color="auto" w:fill="FFFFFF"/>
        <w:spacing w:after="100" w:afterAutospacing="1" w:line="240" w:lineRule="auto"/>
      </w:pPr>
      <w:r w:rsidRPr="00A62422">
        <w:t xml:space="preserve">Third parties are unable to make changes to any </w:t>
      </w:r>
      <w:r>
        <w:t>&lt;COMPANY NAME&gt;</w:t>
      </w:r>
      <w:r w:rsidRPr="00A62422">
        <w:t xml:space="preserve"> infrastructure without explicit permission from </w:t>
      </w:r>
      <w:r>
        <w:t>&lt;COMPANY NAME&gt;</w:t>
      </w:r>
      <w:r w:rsidRPr="00A62422">
        <w:t xml:space="preserve">. Additionally, no </w:t>
      </w:r>
      <w:r>
        <w:t>&lt;COMPANY NAME&gt;</w:t>
      </w:r>
      <w:r w:rsidRPr="00A62422">
        <w:t xml:space="preserve"> Customers or Partners have access outside of their own environment, meaning they cannot access, modify, or delete anything related to other 3rd parties.</w:t>
      </w:r>
    </w:p>
    <w:p w:rsidR="00A62422" w:rsidRPr="00A62422" w:rsidRDefault="00A62422" w:rsidP="00CF5AB0">
      <w:pPr>
        <w:pStyle w:val="ListParagraph"/>
        <w:numPr>
          <w:ilvl w:val="0"/>
          <w:numId w:val="16"/>
        </w:numPr>
        <w:shd w:val="clear" w:color="auto" w:fill="FFFFFF"/>
        <w:spacing w:after="100" w:afterAutospacing="1" w:line="240" w:lineRule="auto"/>
      </w:pPr>
      <w:r w:rsidRPr="00A62422">
        <w:t xml:space="preserve">Whenever outsourced development is utilized by </w:t>
      </w:r>
      <w:r>
        <w:t>&lt;COMPANY NAME&gt;</w:t>
      </w:r>
      <w:r w:rsidRPr="00A62422">
        <w:t xml:space="preserve">, all changes to production systems will be approved and implemented by </w:t>
      </w:r>
      <w:r>
        <w:t>&lt;COMPANY NAME&gt;</w:t>
      </w:r>
      <w:r w:rsidRPr="00A62422">
        <w:t xml:space="preserve"> workforce members only. All outsourced development requires a formal contract with </w:t>
      </w:r>
      <w:r>
        <w:t>&lt;COMPANY NAME&gt;</w:t>
      </w:r>
      <w:r w:rsidRPr="00A62422">
        <w:t>.</w:t>
      </w:r>
    </w:p>
    <w:p w:rsidR="00A62422" w:rsidRPr="00A62422" w:rsidRDefault="00A62422" w:rsidP="00CF5AB0">
      <w:pPr>
        <w:pStyle w:val="ListParagraph"/>
        <w:numPr>
          <w:ilvl w:val="0"/>
          <w:numId w:val="16"/>
        </w:numPr>
        <w:shd w:val="clear" w:color="auto" w:fill="FFFFFF"/>
        <w:spacing w:after="100" w:afterAutospacing="1" w:line="240" w:lineRule="auto"/>
      </w:pPr>
      <w:r>
        <w:t>&lt;COMPANY NAME&gt;</w:t>
      </w:r>
      <w:r w:rsidRPr="00A62422">
        <w:t xml:space="preserve"> maintains and annually reviews a list all current Partners and Subcontractors.</w:t>
      </w:r>
    </w:p>
    <w:p w:rsidR="00A62422" w:rsidRPr="00A62422" w:rsidRDefault="00A62422" w:rsidP="00CF5AB0">
      <w:pPr>
        <w:pStyle w:val="ListParagraph"/>
        <w:numPr>
          <w:ilvl w:val="0"/>
          <w:numId w:val="16"/>
        </w:numPr>
        <w:shd w:val="clear" w:color="auto" w:fill="FFFFFF"/>
        <w:spacing w:after="100" w:afterAutospacing="1" w:line="240" w:lineRule="auto"/>
      </w:pPr>
      <w:r>
        <w:t>&lt;COMPANY NAME&gt;</w:t>
      </w:r>
      <w:r w:rsidRPr="00A62422">
        <w:t xml:space="preserve"> assesses security requirements and compliance considerations with all Partners and Subcontracts.</w:t>
      </w:r>
    </w:p>
    <w:p w:rsidR="00A62422" w:rsidRPr="00A62422" w:rsidRDefault="00A62422" w:rsidP="00CF5AB0">
      <w:pPr>
        <w:pStyle w:val="ListParagraph"/>
        <w:numPr>
          <w:ilvl w:val="0"/>
          <w:numId w:val="16"/>
        </w:numPr>
        <w:shd w:val="clear" w:color="auto" w:fill="FFFFFF"/>
        <w:spacing w:after="100" w:afterAutospacing="1" w:line="240" w:lineRule="auto"/>
      </w:pPr>
      <w:r w:rsidRPr="00A62422">
        <w:t>Regular review is conducted as required by SLAs to assure security and compliance. These reviews include reports, audit trails, security events, operational issues, failures and disruptions, and identified issues are investigated and resolved in a reasonable and timely manner.</w:t>
      </w:r>
    </w:p>
    <w:p w:rsidR="00A62422" w:rsidRPr="00A62422" w:rsidRDefault="00A62422" w:rsidP="00CF5AB0">
      <w:pPr>
        <w:pStyle w:val="ListParagraph"/>
        <w:numPr>
          <w:ilvl w:val="0"/>
          <w:numId w:val="16"/>
        </w:numPr>
        <w:shd w:val="clear" w:color="auto" w:fill="FFFFFF"/>
        <w:spacing w:after="100" w:afterAutospacing="1" w:line="240" w:lineRule="auto"/>
      </w:pPr>
      <w:r w:rsidRPr="00A62422">
        <w:t>Any changes to Partner and Subcontractor services and systems are reviewed before implementation.</w:t>
      </w:r>
    </w:p>
    <w:p w:rsidR="00A62422" w:rsidRDefault="00A62422" w:rsidP="00CF5AB0">
      <w:pPr>
        <w:pStyle w:val="ListParagraph"/>
        <w:numPr>
          <w:ilvl w:val="0"/>
          <w:numId w:val="16"/>
        </w:numPr>
        <w:shd w:val="clear" w:color="auto" w:fill="FFFFFF"/>
        <w:spacing w:after="100" w:afterAutospacing="1" w:line="240" w:lineRule="auto"/>
      </w:pPr>
      <w:r w:rsidRPr="00A62422">
        <w:t xml:space="preserve">For all partners, </w:t>
      </w:r>
      <w:r>
        <w:t>&lt;COMPANY NAME&gt;</w:t>
      </w:r>
      <w:r w:rsidRPr="00A62422">
        <w:t xml:space="preserve"> reviews activity annually to assure partners are in line with SLAs in contracts with </w:t>
      </w:r>
      <w:r>
        <w:t>&lt;COMPANY NAME&gt;</w:t>
      </w:r>
      <w:r w:rsidRPr="00A62422">
        <w:t>.</w:t>
      </w:r>
    </w:p>
    <w:p w:rsidR="00A62422" w:rsidRPr="00A62422" w:rsidRDefault="009D09F0" w:rsidP="00A62422">
      <w:pPr>
        <w:autoSpaceDE w:val="0"/>
        <w:autoSpaceDN w:val="0"/>
        <w:adjustRightInd w:val="0"/>
        <w:rPr>
          <w:rFonts w:ascii="Calibri" w:hAnsi="Calibri" w:cs="Calibri"/>
          <w:b/>
          <w:bCs/>
          <w:color w:val="282828"/>
        </w:rPr>
      </w:pPr>
      <w:r>
        <w:rPr>
          <w:rFonts w:ascii="Calibri" w:hAnsi="Calibri" w:cs="Calibri"/>
          <w:b/>
          <w:bCs/>
          <w:color w:val="282828"/>
        </w:rPr>
        <w:t xml:space="preserve">19.3 </w:t>
      </w:r>
      <w:r w:rsidR="00A62422" w:rsidRPr="00A62422">
        <w:rPr>
          <w:rFonts w:ascii="Calibri" w:hAnsi="Calibri" w:cs="Calibri"/>
          <w:b/>
          <w:bCs/>
          <w:color w:val="282828"/>
        </w:rPr>
        <w:t>I</w:t>
      </w:r>
      <w:r w:rsidR="00CF5AB0">
        <w:rPr>
          <w:rFonts w:ascii="Calibri" w:hAnsi="Calibri" w:cs="Calibri"/>
          <w:b/>
          <w:bCs/>
          <w:color w:val="282828"/>
        </w:rPr>
        <w:t>nventory and Classification of Outsourced Products &amp; Services</w:t>
      </w:r>
    </w:p>
    <w:p w:rsidR="00A62422" w:rsidRPr="00A62422" w:rsidRDefault="00A62422" w:rsidP="00A62422">
      <w:pPr>
        <w:autoSpaceDE w:val="0"/>
        <w:autoSpaceDN w:val="0"/>
        <w:adjustRightInd w:val="0"/>
        <w:rPr>
          <w:rFonts w:ascii="Calibri" w:hAnsi="Calibri" w:cs="Calibri"/>
          <w:color w:val="282828"/>
        </w:rPr>
      </w:pPr>
      <w:r w:rsidRPr="00A62422">
        <w:rPr>
          <w:rFonts w:ascii="Calibri" w:hAnsi="Calibri" w:cs="Calibri"/>
          <w:color w:val="282828"/>
        </w:rPr>
        <w:t xml:space="preserve">If a product or service will be outsourced, both the due diligence during the selection process and the ongoing oversight of the selected vendor will be based on the bank's assessment of the importance or criticality of the outsourced product or service, but all vendors will have some level of ongoing oversight.  An inventory of third party service providers shall be maintained, the inventory shall include: </w:t>
      </w:r>
    </w:p>
    <w:p w:rsidR="00A62422" w:rsidRPr="00A62422" w:rsidRDefault="00A62422" w:rsidP="00A62422">
      <w:pPr>
        <w:pStyle w:val="ListParagraph"/>
        <w:numPr>
          <w:ilvl w:val="0"/>
          <w:numId w:val="10"/>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Vendor risk level;</w:t>
      </w:r>
    </w:p>
    <w:p w:rsidR="00A62422" w:rsidRPr="00A62422" w:rsidRDefault="00A62422" w:rsidP="00A62422">
      <w:pPr>
        <w:pStyle w:val="ListParagraph"/>
        <w:numPr>
          <w:ilvl w:val="0"/>
          <w:numId w:val="10"/>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Types of data shared with the third party, including data classification;</w:t>
      </w:r>
    </w:p>
    <w:p w:rsidR="00A62422" w:rsidRPr="00A62422" w:rsidRDefault="00A62422" w:rsidP="00A62422">
      <w:pPr>
        <w:pStyle w:val="ListParagraph"/>
        <w:numPr>
          <w:ilvl w:val="0"/>
          <w:numId w:val="10"/>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Brief description of services; and</w:t>
      </w:r>
    </w:p>
    <w:p w:rsidR="00CF5AB0" w:rsidRDefault="00A62422" w:rsidP="00455D35">
      <w:pPr>
        <w:pStyle w:val="ListParagraph"/>
        <w:numPr>
          <w:ilvl w:val="0"/>
          <w:numId w:val="10"/>
        </w:numPr>
        <w:autoSpaceDE w:val="0"/>
        <w:autoSpaceDN w:val="0"/>
        <w:adjustRightInd w:val="0"/>
        <w:spacing w:after="0" w:line="240" w:lineRule="auto"/>
        <w:rPr>
          <w:rFonts w:ascii="Calibri" w:hAnsi="Calibri" w:cs="Calibri"/>
          <w:color w:val="282828"/>
        </w:rPr>
      </w:pPr>
      <w:r w:rsidRPr="00CF5AB0">
        <w:rPr>
          <w:rFonts w:ascii="Calibri" w:hAnsi="Calibri" w:cs="Calibri"/>
          <w:color w:val="282828"/>
        </w:rPr>
        <w:t>Significant controls in place.</w:t>
      </w:r>
    </w:p>
    <w:p w:rsidR="00CF5AB0" w:rsidRPr="00CF5AB0" w:rsidRDefault="00CF5AB0" w:rsidP="00CF5AB0">
      <w:pPr>
        <w:pStyle w:val="ListParagraph"/>
        <w:autoSpaceDE w:val="0"/>
        <w:autoSpaceDN w:val="0"/>
        <w:adjustRightInd w:val="0"/>
        <w:spacing w:after="0" w:line="240" w:lineRule="auto"/>
        <w:rPr>
          <w:rFonts w:ascii="Calibri" w:hAnsi="Calibri" w:cs="Calibri"/>
          <w:color w:val="282828"/>
        </w:rPr>
      </w:pPr>
    </w:p>
    <w:p w:rsidR="00A62422" w:rsidRPr="00A62422" w:rsidRDefault="00A62422" w:rsidP="00A62422">
      <w:pPr>
        <w:autoSpaceDE w:val="0"/>
        <w:autoSpaceDN w:val="0"/>
        <w:adjustRightInd w:val="0"/>
        <w:rPr>
          <w:rFonts w:ascii="Calibri" w:hAnsi="Calibri" w:cs="Calibri"/>
          <w:color w:val="282828"/>
        </w:rPr>
      </w:pPr>
      <w:r w:rsidRPr="00A62422">
        <w:rPr>
          <w:rFonts w:ascii="Calibri" w:hAnsi="Calibri" w:cs="Calibri"/>
          <w:color w:val="282828"/>
        </w:rPr>
        <w:t>Vendor risk level assessment will be based on the following considerations:</w:t>
      </w:r>
    </w:p>
    <w:p w:rsidR="00A62422" w:rsidRPr="00A62422" w:rsidRDefault="00A62422" w:rsidP="00A62422">
      <w:pPr>
        <w:autoSpaceDE w:val="0"/>
        <w:autoSpaceDN w:val="0"/>
        <w:adjustRightInd w:val="0"/>
        <w:rPr>
          <w:rFonts w:ascii="Calibri" w:hAnsi="Calibri" w:cs="Calibri"/>
          <w:i/>
          <w:iCs/>
          <w:color w:val="282828"/>
        </w:rPr>
      </w:pPr>
    </w:p>
    <w:p w:rsidR="00A62422" w:rsidRPr="00A62422" w:rsidRDefault="00A62422" w:rsidP="00A62422">
      <w:pPr>
        <w:autoSpaceDE w:val="0"/>
        <w:autoSpaceDN w:val="0"/>
        <w:adjustRightInd w:val="0"/>
        <w:rPr>
          <w:rFonts w:ascii="Calibri" w:hAnsi="Calibri" w:cs="Calibri"/>
          <w:i/>
          <w:iCs/>
          <w:color w:val="282828"/>
        </w:rPr>
      </w:pPr>
      <w:r w:rsidRPr="00A62422">
        <w:rPr>
          <w:rFonts w:ascii="Calibri" w:hAnsi="Calibri" w:cs="Calibri"/>
          <w:i/>
          <w:iCs/>
          <w:color w:val="282828"/>
        </w:rPr>
        <w:t>A product/service will be designated "critical" if:</w:t>
      </w:r>
    </w:p>
    <w:p w:rsidR="00A62422" w:rsidRPr="00A62422" w:rsidRDefault="00A62422" w:rsidP="00A62422">
      <w:pPr>
        <w:pStyle w:val="ListParagraph"/>
        <w:numPr>
          <w:ilvl w:val="0"/>
          <w:numId w:val="9"/>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vendor will be performing processing required for daily activities;</w:t>
      </w:r>
    </w:p>
    <w:p w:rsidR="00A62422" w:rsidRPr="00A62422" w:rsidRDefault="00A62422" w:rsidP="00A62422">
      <w:pPr>
        <w:pStyle w:val="ListParagraph"/>
        <w:numPr>
          <w:ilvl w:val="0"/>
          <w:numId w:val="9"/>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vendor has access to Restricted/Sensitive information;</w:t>
      </w:r>
    </w:p>
    <w:p w:rsidR="00A62422" w:rsidRPr="00A62422" w:rsidRDefault="00A62422" w:rsidP="00A62422">
      <w:pPr>
        <w:pStyle w:val="ListParagraph"/>
        <w:numPr>
          <w:ilvl w:val="0"/>
          <w:numId w:val="9"/>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service is significant to the bank's strategic - plans; and</w:t>
      </w:r>
    </w:p>
    <w:p w:rsidR="00A62422" w:rsidRPr="00A62422" w:rsidRDefault="00CF5AB0" w:rsidP="00A62422">
      <w:pPr>
        <w:pStyle w:val="ListParagraph"/>
        <w:numPr>
          <w:ilvl w:val="0"/>
          <w:numId w:val="9"/>
        </w:numPr>
        <w:autoSpaceDE w:val="0"/>
        <w:autoSpaceDN w:val="0"/>
        <w:adjustRightInd w:val="0"/>
        <w:spacing w:after="0" w:line="240" w:lineRule="auto"/>
        <w:rPr>
          <w:rFonts w:ascii="Calibri" w:hAnsi="Calibri" w:cs="Calibri"/>
          <w:b/>
          <w:bCs/>
          <w:i/>
          <w:iCs/>
          <w:color w:val="282828"/>
        </w:rPr>
      </w:pPr>
      <w:r w:rsidRPr="00A62422">
        <w:rPr>
          <w:rFonts w:ascii="Calibri" w:hAnsi="Calibri" w:cs="Calibri"/>
          <w:b/>
          <w:bCs/>
          <w:i/>
          <w:iCs/>
          <w:color w:val="282828"/>
        </w:rPr>
        <w:t>Executive</w:t>
      </w:r>
      <w:r w:rsidR="00A62422" w:rsidRPr="00A62422">
        <w:rPr>
          <w:rFonts w:ascii="Calibri" w:hAnsi="Calibri" w:cs="Calibri"/>
          <w:b/>
          <w:bCs/>
          <w:i/>
          <w:iCs/>
          <w:color w:val="282828"/>
        </w:rPr>
        <w:t xml:space="preserve"> management designates it as such.</w:t>
      </w:r>
    </w:p>
    <w:p w:rsidR="00B65FD2" w:rsidRDefault="00B65FD2" w:rsidP="00A62422">
      <w:pPr>
        <w:autoSpaceDE w:val="0"/>
        <w:autoSpaceDN w:val="0"/>
        <w:adjustRightInd w:val="0"/>
        <w:rPr>
          <w:rFonts w:ascii="Calibri" w:hAnsi="Calibri" w:cs="Calibri"/>
          <w:i/>
          <w:iCs/>
          <w:color w:val="282828"/>
        </w:rPr>
      </w:pPr>
    </w:p>
    <w:p w:rsidR="00A62422" w:rsidRPr="00A62422" w:rsidRDefault="00A62422" w:rsidP="00A62422">
      <w:pPr>
        <w:autoSpaceDE w:val="0"/>
        <w:autoSpaceDN w:val="0"/>
        <w:adjustRightInd w:val="0"/>
        <w:rPr>
          <w:rFonts w:ascii="Calibri" w:hAnsi="Calibri" w:cs="Calibri"/>
          <w:i/>
          <w:iCs/>
          <w:color w:val="282828"/>
        </w:rPr>
      </w:pPr>
      <w:bookmarkStart w:id="0" w:name="_GoBack"/>
      <w:bookmarkEnd w:id="0"/>
      <w:r w:rsidRPr="00A62422">
        <w:rPr>
          <w:rFonts w:ascii="Calibri" w:hAnsi="Calibri" w:cs="Calibri"/>
          <w:i/>
          <w:iCs/>
          <w:color w:val="282828"/>
        </w:rPr>
        <w:t>A product/service will be designated "major'' if</w:t>
      </w:r>
    </w:p>
    <w:p w:rsidR="00A62422" w:rsidRPr="00A62422" w:rsidRDefault="00A62422" w:rsidP="00A62422">
      <w:pPr>
        <w:pStyle w:val="ListParagraph"/>
        <w:numPr>
          <w:ilvl w:val="0"/>
          <w:numId w:val="12"/>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vendor will perform any processing for the bank;</w:t>
      </w:r>
    </w:p>
    <w:p w:rsidR="00A62422" w:rsidRPr="00A62422" w:rsidRDefault="00A62422" w:rsidP="00A62422">
      <w:pPr>
        <w:pStyle w:val="ListParagraph"/>
        <w:numPr>
          <w:ilvl w:val="0"/>
          <w:numId w:val="12"/>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product is important to the bank's competitive posture; and</w:t>
      </w:r>
    </w:p>
    <w:p w:rsidR="00A62422" w:rsidRPr="00A62422" w:rsidRDefault="00A62422" w:rsidP="00A62422">
      <w:pPr>
        <w:pStyle w:val="ListParagraph"/>
        <w:numPr>
          <w:ilvl w:val="0"/>
          <w:numId w:val="11"/>
        </w:numPr>
        <w:autoSpaceDE w:val="0"/>
        <w:autoSpaceDN w:val="0"/>
        <w:adjustRightInd w:val="0"/>
        <w:spacing w:after="0" w:line="240" w:lineRule="auto"/>
        <w:rPr>
          <w:rFonts w:ascii="Calibri" w:hAnsi="Calibri" w:cs="Calibri"/>
          <w:b/>
          <w:bCs/>
          <w:i/>
          <w:iCs/>
          <w:color w:val="282828"/>
        </w:rPr>
      </w:pPr>
      <w:r w:rsidRPr="00A62422">
        <w:rPr>
          <w:rFonts w:ascii="Calibri" w:hAnsi="Calibri" w:cs="Calibri"/>
          <w:b/>
          <w:bCs/>
          <w:i/>
          <w:iCs/>
          <w:color w:val="282828"/>
        </w:rPr>
        <w:t>Executive management designates it as such.</w:t>
      </w:r>
    </w:p>
    <w:p w:rsidR="00A62422" w:rsidRPr="00A62422" w:rsidRDefault="00A62422" w:rsidP="00A62422">
      <w:pPr>
        <w:autoSpaceDE w:val="0"/>
        <w:autoSpaceDN w:val="0"/>
        <w:adjustRightInd w:val="0"/>
        <w:rPr>
          <w:rFonts w:ascii="Calibri" w:hAnsi="Calibri" w:cs="Calibri"/>
          <w:b/>
          <w:bCs/>
          <w:i/>
          <w:iCs/>
          <w:color w:val="282828"/>
        </w:rPr>
      </w:pPr>
    </w:p>
    <w:p w:rsidR="00A62422" w:rsidRPr="00A62422" w:rsidRDefault="00A62422" w:rsidP="00A62422">
      <w:pPr>
        <w:autoSpaceDE w:val="0"/>
        <w:autoSpaceDN w:val="0"/>
        <w:adjustRightInd w:val="0"/>
        <w:rPr>
          <w:rFonts w:ascii="Calibri" w:hAnsi="Calibri" w:cs="Calibri"/>
          <w:i/>
          <w:iCs/>
          <w:color w:val="282828"/>
        </w:rPr>
      </w:pPr>
      <w:r w:rsidRPr="00A62422">
        <w:rPr>
          <w:rFonts w:ascii="Calibri" w:hAnsi="Calibri" w:cs="Calibri"/>
          <w:i/>
          <w:iCs/>
          <w:color w:val="282828"/>
        </w:rPr>
        <w:t>A product/service will be designated "low" if</w:t>
      </w:r>
    </w:p>
    <w:p w:rsidR="00A62422" w:rsidRPr="00A62422" w:rsidRDefault="00A62422" w:rsidP="00A62422">
      <w:pPr>
        <w:pStyle w:val="ListParagraph"/>
        <w:numPr>
          <w:ilvl w:val="0"/>
          <w:numId w:val="11"/>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service is minimal to the bank's strategic - plans;</w:t>
      </w:r>
    </w:p>
    <w:p w:rsidR="00A62422" w:rsidRPr="00A62422" w:rsidRDefault="00A62422" w:rsidP="00A62422">
      <w:pPr>
        <w:pStyle w:val="ListParagraph"/>
        <w:numPr>
          <w:ilvl w:val="0"/>
          <w:numId w:val="11"/>
        </w:numPr>
        <w:autoSpaceDE w:val="0"/>
        <w:autoSpaceDN w:val="0"/>
        <w:adjustRightInd w:val="0"/>
        <w:spacing w:after="0" w:line="240" w:lineRule="auto"/>
        <w:rPr>
          <w:rFonts w:ascii="Calibri" w:hAnsi="Calibri" w:cs="Calibri"/>
          <w:color w:val="282828"/>
        </w:rPr>
      </w:pPr>
      <w:r w:rsidRPr="00A62422">
        <w:rPr>
          <w:rFonts w:ascii="Calibri" w:hAnsi="Calibri" w:cs="Calibri"/>
          <w:color w:val="282828"/>
        </w:rPr>
        <w:t>The vendor's own reputation un-harms the Bank's reputation; and</w:t>
      </w:r>
    </w:p>
    <w:p w:rsidR="00A62422" w:rsidRPr="00A62422" w:rsidRDefault="00A62422" w:rsidP="00A62422">
      <w:pPr>
        <w:pStyle w:val="ListParagraph"/>
        <w:numPr>
          <w:ilvl w:val="0"/>
          <w:numId w:val="11"/>
        </w:numPr>
        <w:spacing w:after="0" w:line="240" w:lineRule="auto"/>
        <w:jc w:val="both"/>
        <w:rPr>
          <w:rFonts w:ascii="Calibri" w:hAnsi="Calibri" w:cs="Calibri"/>
          <w:color w:val="000000" w:themeColor="text1"/>
        </w:rPr>
      </w:pPr>
      <w:r w:rsidRPr="00A62422">
        <w:rPr>
          <w:rFonts w:ascii="Calibri" w:hAnsi="Calibri" w:cs="Calibri"/>
          <w:b/>
          <w:bCs/>
          <w:i/>
          <w:iCs/>
          <w:color w:val="282828"/>
        </w:rPr>
        <w:t>Executive management designates it as such.</w:t>
      </w:r>
    </w:p>
    <w:p w:rsidR="00A62422" w:rsidRPr="00A62422" w:rsidRDefault="00A62422" w:rsidP="00A62422">
      <w:pPr>
        <w:tabs>
          <w:tab w:val="left" w:pos="2430"/>
        </w:tabs>
        <w:jc w:val="both"/>
        <w:outlineLvl w:val="0"/>
        <w:rPr>
          <w:rFonts w:ascii="Calibri" w:hAnsi="Calibri" w:cs="Calibri"/>
          <w:b/>
          <w:color w:val="000000" w:themeColor="text1"/>
        </w:rPr>
      </w:pPr>
    </w:p>
    <w:p w:rsidR="00A62422" w:rsidRPr="00A62422" w:rsidRDefault="009D09F0" w:rsidP="00A62422">
      <w:pPr>
        <w:tabs>
          <w:tab w:val="left" w:pos="2430"/>
        </w:tabs>
        <w:jc w:val="both"/>
        <w:outlineLvl w:val="0"/>
        <w:rPr>
          <w:rFonts w:ascii="Calibri" w:hAnsi="Calibri" w:cs="Calibri"/>
          <w:b/>
          <w:color w:val="000000" w:themeColor="text1"/>
        </w:rPr>
      </w:pPr>
      <w:r>
        <w:rPr>
          <w:rFonts w:ascii="Calibri" w:hAnsi="Calibri" w:cs="Calibri"/>
          <w:b/>
          <w:color w:val="000000" w:themeColor="text1"/>
        </w:rPr>
        <w:t xml:space="preserve">19.4 </w:t>
      </w:r>
      <w:r w:rsidR="00A62422" w:rsidRPr="00A62422">
        <w:rPr>
          <w:rFonts w:ascii="Calibri" w:hAnsi="Calibri" w:cs="Calibri"/>
          <w:b/>
          <w:color w:val="000000" w:themeColor="text1"/>
        </w:rPr>
        <w:t>Third Party Contracts</w:t>
      </w:r>
    </w:p>
    <w:tbl>
      <w:tblPr>
        <w:tblW w:w="10908" w:type="dxa"/>
        <w:tblInd w:w="-108" w:type="dxa"/>
        <w:tblBorders>
          <w:top w:val="nil"/>
          <w:left w:val="nil"/>
          <w:bottom w:val="nil"/>
          <w:right w:val="nil"/>
        </w:tblBorders>
        <w:tblLayout w:type="fixed"/>
        <w:tblLook w:val="0000" w:firstRow="0" w:lastRow="0" w:firstColumn="0" w:lastColumn="0" w:noHBand="0" w:noVBand="0"/>
      </w:tblPr>
      <w:tblGrid>
        <w:gridCol w:w="10908"/>
      </w:tblGrid>
      <w:tr w:rsidR="00A62422" w:rsidRPr="00A62422" w:rsidTr="00A62422">
        <w:trPr>
          <w:trHeight w:val="704"/>
        </w:trPr>
        <w:tc>
          <w:tcPr>
            <w:tcW w:w="10908" w:type="dxa"/>
          </w:tcPr>
          <w:p w:rsidR="00A62422" w:rsidRDefault="00A62422" w:rsidP="00D5637B">
            <w:pPr>
              <w:pStyle w:val="Default"/>
              <w:rPr>
                <w:sz w:val="22"/>
                <w:szCs w:val="22"/>
              </w:rPr>
            </w:pPr>
            <w:r w:rsidRPr="00A62422">
              <w:rPr>
                <w:sz w:val="22"/>
                <w:szCs w:val="22"/>
              </w:rPr>
              <w:t xml:space="preserve">Formal contracts that address relevant security and privacy requirements must be in place for all third parties that process, store, or transmit confidential data or provide critical services.  The following must be included in all such contracts: </w:t>
            </w:r>
          </w:p>
          <w:p w:rsidR="00CF5AB0" w:rsidRPr="00A62422" w:rsidRDefault="00CF5AB0" w:rsidP="00D5637B">
            <w:pPr>
              <w:pStyle w:val="Default"/>
              <w:rPr>
                <w:sz w:val="22"/>
                <w:szCs w:val="22"/>
              </w:rPr>
            </w:pPr>
          </w:p>
          <w:p w:rsidR="00A62422" w:rsidRPr="00A62422" w:rsidRDefault="00A62422" w:rsidP="00A62422">
            <w:pPr>
              <w:pStyle w:val="Default"/>
              <w:numPr>
                <w:ilvl w:val="0"/>
                <w:numId w:val="13"/>
              </w:numPr>
              <w:rPr>
                <w:sz w:val="22"/>
                <w:szCs w:val="22"/>
              </w:rPr>
            </w:pPr>
            <w:r w:rsidRPr="00A62422">
              <w:rPr>
                <w:sz w:val="22"/>
                <w:szCs w:val="22"/>
              </w:rPr>
              <w:t xml:space="preserve">Contracts will acknowledge that the third party is responsible for the security of the institution’s confidential data that it possesses, stores, processes, or transmits; </w:t>
            </w:r>
          </w:p>
          <w:p w:rsidR="00A62422" w:rsidRPr="00A62422" w:rsidRDefault="00A62422" w:rsidP="00A62422">
            <w:pPr>
              <w:pStyle w:val="Default"/>
              <w:numPr>
                <w:ilvl w:val="0"/>
                <w:numId w:val="13"/>
              </w:numPr>
              <w:rPr>
                <w:sz w:val="22"/>
                <w:szCs w:val="22"/>
              </w:rPr>
            </w:pPr>
            <w:r w:rsidRPr="00A62422">
              <w:rPr>
                <w:sz w:val="22"/>
                <w:szCs w:val="22"/>
              </w:rPr>
              <w:t>Contracts stipulate that the third-party security controls are regularly reviewed and validated by an independent party;</w:t>
            </w:r>
          </w:p>
          <w:p w:rsidR="00A62422" w:rsidRPr="00A62422" w:rsidRDefault="00A62422" w:rsidP="00A62422">
            <w:pPr>
              <w:pStyle w:val="Default"/>
              <w:numPr>
                <w:ilvl w:val="0"/>
                <w:numId w:val="13"/>
              </w:numPr>
              <w:rPr>
                <w:sz w:val="22"/>
                <w:szCs w:val="22"/>
              </w:rPr>
            </w:pPr>
            <w:r w:rsidRPr="00A62422">
              <w:rPr>
                <w:sz w:val="22"/>
                <w:szCs w:val="22"/>
              </w:rPr>
              <w:t xml:space="preserve">Contracts identify the recourse available to &lt;COMPANY NAME&gt; should the third party fail to meet defined security requirements; </w:t>
            </w:r>
          </w:p>
          <w:p w:rsidR="00A62422" w:rsidRPr="00A62422" w:rsidRDefault="00A62422" w:rsidP="00A62422">
            <w:pPr>
              <w:pStyle w:val="Default"/>
              <w:numPr>
                <w:ilvl w:val="0"/>
                <w:numId w:val="13"/>
              </w:numPr>
              <w:rPr>
                <w:sz w:val="22"/>
                <w:szCs w:val="22"/>
              </w:rPr>
            </w:pPr>
            <w:r w:rsidRPr="00A62422">
              <w:rPr>
                <w:sz w:val="22"/>
                <w:szCs w:val="22"/>
              </w:rPr>
              <w:t>Contracts establish responsibilities for responding to direct and indirect security incidents including timing as defined by service-level agreements (SLAs);</w:t>
            </w:r>
          </w:p>
          <w:p w:rsidR="00A62422" w:rsidRPr="00A62422" w:rsidRDefault="00A62422" w:rsidP="00A62422">
            <w:pPr>
              <w:pStyle w:val="Default"/>
              <w:numPr>
                <w:ilvl w:val="0"/>
                <w:numId w:val="13"/>
              </w:numPr>
              <w:rPr>
                <w:sz w:val="22"/>
                <w:szCs w:val="22"/>
              </w:rPr>
            </w:pPr>
            <w:r w:rsidRPr="00A62422">
              <w:rPr>
                <w:sz w:val="22"/>
                <w:szCs w:val="22"/>
              </w:rPr>
              <w:t>Contracts specify the security requirements for the return or destruction of data upon contract termination;</w:t>
            </w:r>
          </w:p>
          <w:p w:rsidR="00A62422" w:rsidRPr="00A62422" w:rsidRDefault="00A62422" w:rsidP="00A62422">
            <w:pPr>
              <w:pStyle w:val="Default"/>
              <w:numPr>
                <w:ilvl w:val="0"/>
                <w:numId w:val="13"/>
              </w:numPr>
              <w:rPr>
                <w:sz w:val="22"/>
                <w:szCs w:val="22"/>
              </w:rPr>
            </w:pPr>
            <w:r w:rsidRPr="00A62422">
              <w:rPr>
                <w:sz w:val="22"/>
                <w:szCs w:val="22"/>
              </w:rPr>
              <w:t>Responsibilities for managing devices (e.g., firewalls, routers) that secure connections with third parties are formally documented in the contract: and</w:t>
            </w:r>
          </w:p>
          <w:p w:rsidR="00A62422" w:rsidRDefault="00A62422" w:rsidP="00A62422">
            <w:pPr>
              <w:pStyle w:val="Default"/>
              <w:numPr>
                <w:ilvl w:val="0"/>
                <w:numId w:val="13"/>
              </w:numPr>
              <w:rPr>
                <w:sz w:val="22"/>
                <w:szCs w:val="22"/>
              </w:rPr>
            </w:pPr>
            <w:r w:rsidRPr="00A62422">
              <w:rPr>
                <w:sz w:val="22"/>
                <w:szCs w:val="22"/>
              </w:rPr>
              <w:t>Contracts stipulate geographic limits on where data can be stored or transmitted.</w:t>
            </w:r>
          </w:p>
          <w:p w:rsidR="00A62422" w:rsidRDefault="00A62422" w:rsidP="00A62422">
            <w:pPr>
              <w:pStyle w:val="Default"/>
              <w:rPr>
                <w:sz w:val="22"/>
                <w:szCs w:val="22"/>
              </w:rPr>
            </w:pPr>
          </w:p>
          <w:p w:rsidR="00A62422" w:rsidRPr="00A62422" w:rsidRDefault="009D09F0" w:rsidP="00A62422">
            <w:pPr>
              <w:tabs>
                <w:tab w:val="left" w:pos="2430"/>
              </w:tabs>
              <w:jc w:val="both"/>
              <w:outlineLvl w:val="0"/>
              <w:rPr>
                <w:rFonts w:cstheme="minorHAnsi"/>
                <w:b/>
                <w:color w:val="000000" w:themeColor="text1"/>
              </w:rPr>
            </w:pPr>
            <w:r>
              <w:rPr>
                <w:rFonts w:cstheme="minorHAnsi"/>
                <w:b/>
                <w:color w:val="000000" w:themeColor="text1"/>
              </w:rPr>
              <w:t xml:space="preserve">19.5 </w:t>
            </w:r>
            <w:r w:rsidR="00A62422" w:rsidRPr="00A62422">
              <w:rPr>
                <w:rFonts w:cstheme="minorHAnsi"/>
                <w:b/>
                <w:color w:val="000000" w:themeColor="text1"/>
              </w:rPr>
              <w:t>Third-Party Review</w:t>
            </w:r>
          </w:p>
          <w:p w:rsidR="00A62422" w:rsidRPr="00A62422" w:rsidRDefault="00A62422" w:rsidP="00A62422">
            <w:pPr>
              <w:jc w:val="both"/>
              <w:rPr>
                <w:rFonts w:cstheme="minorHAnsi"/>
                <w:color w:val="000000" w:themeColor="text1"/>
              </w:rPr>
            </w:pPr>
            <w:r w:rsidRPr="00A62422">
              <w:rPr>
                <w:rFonts w:cstheme="minorHAnsi"/>
                <w:color w:val="000000" w:themeColor="text1"/>
              </w:rPr>
              <w:t xml:space="preserve">In all cases where &lt;COMPANY NAME&gt;’s sensitive, critical services or data are provided to a third-party service provider, &lt;COMPANY NAME&gt; must review the service provider's internal control structure to ensure compatibility with &lt;COMPANY NAME&gt; Information Security requirements. The request and the results of the review should be provided to the Management Team. Once the relationship is established, an ongoing review of the service provider's internal controls structure is required on at least an annual basis. </w:t>
            </w:r>
            <w:r w:rsidRPr="00A62422">
              <w:rPr>
                <w:rFonts w:eastAsia="Arial" w:cstheme="minorHAnsi"/>
              </w:rPr>
              <w:t>The evaluat</w:t>
            </w:r>
            <w:r w:rsidRPr="00A62422">
              <w:rPr>
                <w:rFonts w:eastAsia="Arial" w:cstheme="minorHAnsi"/>
                <w:spacing w:val="-1"/>
              </w:rPr>
              <w:t>i</w:t>
            </w:r>
            <w:r w:rsidRPr="00A62422">
              <w:rPr>
                <w:rFonts w:eastAsia="Arial" w:cstheme="minorHAnsi"/>
              </w:rPr>
              <w:t xml:space="preserve">on of a </w:t>
            </w:r>
            <w:r w:rsidRPr="00A62422">
              <w:rPr>
                <w:rFonts w:eastAsia="Arial" w:cstheme="minorHAnsi"/>
                <w:spacing w:val="1"/>
              </w:rPr>
              <w:t>third party</w:t>
            </w:r>
            <w:r w:rsidRPr="00A62422">
              <w:rPr>
                <w:rFonts w:eastAsia="Arial" w:cstheme="minorHAnsi"/>
              </w:rPr>
              <w:t xml:space="preserve"> may inc</w:t>
            </w:r>
            <w:r w:rsidRPr="00A62422">
              <w:rPr>
                <w:rFonts w:eastAsia="Arial" w:cstheme="minorHAnsi"/>
                <w:spacing w:val="-1"/>
              </w:rPr>
              <w:t>l</w:t>
            </w:r>
            <w:r w:rsidRPr="00A62422">
              <w:rPr>
                <w:rFonts w:eastAsia="Arial" w:cstheme="minorHAnsi"/>
              </w:rPr>
              <w:t xml:space="preserve">ude </w:t>
            </w:r>
            <w:r w:rsidRPr="00A62422">
              <w:rPr>
                <w:rFonts w:eastAsia="Arial" w:cstheme="minorHAnsi"/>
                <w:spacing w:val="-2"/>
              </w:rPr>
              <w:t>t</w:t>
            </w:r>
            <w:r w:rsidRPr="00A62422">
              <w:rPr>
                <w:rFonts w:eastAsia="Arial" w:cstheme="minorHAnsi"/>
              </w:rPr>
              <w:t>he follow</w:t>
            </w:r>
            <w:r w:rsidRPr="00A62422">
              <w:rPr>
                <w:rFonts w:eastAsia="Arial" w:cstheme="minorHAnsi"/>
                <w:spacing w:val="-1"/>
              </w:rPr>
              <w:t>i</w:t>
            </w:r>
            <w:r w:rsidRPr="00A62422">
              <w:rPr>
                <w:rFonts w:eastAsia="Arial" w:cstheme="minorHAnsi"/>
              </w:rPr>
              <w:t>ng items (if applicable):</w:t>
            </w:r>
          </w:p>
          <w:p w:rsidR="00A62422" w:rsidRPr="00A62422" w:rsidRDefault="00A62422" w:rsidP="00A62422">
            <w:pPr>
              <w:pStyle w:val="ListParagraph"/>
              <w:widowControl w:val="0"/>
              <w:numPr>
                <w:ilvl w:val="0"/>
                <w:numId w:val="14"/>
              </w:numPr>
              <w:tabs>
                <w:tab w:val="left" w:pos="1160"/>
              </w:tabs>
              <w:spacing w:after="0" w:line="240" w:lineRule="auto"/>
              <w:ind w:right="274"/>
              <w:rPr>
                <w:rFonts w:eastAsia="Arial" w:cstheme="minorHAnsi"/>
              </w:rPr>
            </w:pPr>
            <w:r w:rsidRPr="00A62422">
              <w:rPr>
                <w:rFonts w:eastAsia="Arial" w:cstheme="minorHAnsi"/>
              </w:rPr>
              <w:t>A</w:t>
            </w:r>
            <w:r w:rsidRPr="00A62422">
              <w:rPr>
                <w:rFonts w:eastAsia="Arial" w:cstheme="minorHAnsi"/>
                <w:spacing w:val="-1"/>
              </w:rPr>
              <w:t>u</w:t>
            </w:r>
            <w:r w:rsidRPr="00A62422">
              <w:rPr>
                <w:rFonts w:eastAsia="Arial" w:cstheme="minorHAnsi"/>
              </w:rPr>
              <w:t>dited fina</w:t>
            </w:r>
            <w:r w:rsidRPr="00A62422">
              <w:rPr>
                <w:rFonts w:eastAsia="Arial" w:cstheme="minorHAnsi"/>
                <w:spacing w:val="-1"/>
              </w:rPr>
              <w:t>n</w:t>
            </w:r>
            <w:r w:rsidRPr="00A62422">
              <w:rPr>
                <w:rFonts w:eastAsia="Arial" w:cstheme="minorHAnsi"/>
              </w:rPr>
              <w:t>cial</w:t>
            </w:r>
            <w:r w:rsidRPr="00A62422">
              <w:rPr>
                <w:rFonts w:eastAsia="Arial" w:cstheme="minorHAnsi"/>
                <w:spacing w:val="-2"/>
              </w:rPr>
              <w:t xml:space="preserve"> </w:t>
            </w:r>
            <w:r w:rsidRPr="00A62422">
              <w:rPr>
                <w:rFonts w:eastAsia="Arial" w:cstheme="minorHAnsi"/>
              </w:rPr>
              <w:t>statemen</w:t>
            </w:r>
            <w:r w:rsidRPr="00A62422">
              <w:rPr>
                <w:rFonts w:eastAsia="Arial" w:cstheme="minorHAnsi"/>
                <w:spacing w:val="-2"/>
              </w:rPr>
              <w:t>t</w:t>
            </w:r>
            <w:r w:rsidRPr="00A62422">
              <w:rPr>
                <w:rFonts w:eastAsia="Arial" w:cstheme="minorHAnsi"/>
              </w:rPr>
              <w:t>s, ann</w:t>
            </w:r>
            <w:r w:rsidRPr="00A62422">
              <w:rPr>
                <w:rFonts w:eastAsia="Arial" w:cstheme="minorHAnsi"/>
                <w:spacing w:val="1"/>
              </w:rPr>
              <w:t>u</w:t>
            </w:r>
            <w:r w:rsidRPr="00A62422">
              <w:rPr>
                <w:rFonts w:eastAsia="Arial" w:cstheme="minorHAnsi"/>
              </w:rPr>
              <w:t>al re</w:t>
            </w:r>
            <w:r w:rsidRPr="00A62422">
              <w:rPr>
                <w:rFonts w:eastAsia="Arial" w:cstheme="minorHAnsi"/>
                <w:spacing w:val="-1"/>
              </w:rPr>
              <w:t>p</w:t>
            </w:r>
            <w:r w:rsidRPr="00A62422">
              <w:rPr>
                <w:rFonts w:eastAsia="Arial" w:cstheme="minorHAnsi"/>
              </w:rPr>
              <w:t>or</w:t>
            </w:r>
            <w:r w:rsidRPr="00A62422">
              <w:rPr>
                <w:rFonts w:eastAsia="Arial" w:cstheme="minorHAnsi"/>
                <w:spacing w:val="-2"/>
              </w:rPr>
              <w:t>t</w:t>
            </w:r>
            <w:r w:rsidRPr="00A62422">
              <w:rPr>
                <w:rFonts w:eastAsia="Arial" w:cstheme="minorHAnsi"/>
              </w:rPr>
              <w:t>s, SEC filings, and other a</w:t>
            </w:r>
            <w:r w:rsidRPr="00A62422">
              <w:rPr>
                <w:rFonts w:eastAsia="Arial" w:cstheme="minorHAnsi"/>
                <w:spacing w:val="-2"/>
              </w:rPr>
              <w:t>v</w:t>
            </w:r>
            <w:r w:rsidRPr="00A62422">
              <w:rPr>
                <w:rFonts w:eastAsia="Arial" w:cstheme="minorHAnsi"/>
              </w:rPr>
              <w:t>ailable financ</w:t>
            </w:r>
            <w:r w:rsidRPr="00A62422">
              <w:rPr>
                <w:rFonts w:eastAsia="Arial" w:cstheme="minorHAnsi"/>
                <w:spacing w:val="-1"/>
              </w:rPr>
              <w:t>i</w:t>
            </w:r>
            <w:r>
              <w:rPr>
                <w:rFonts w:eastAsia="Arial" w:cstheme="minorHAnsi"/>
              </w:rPr>
              <w:t xml:space="preserve">al </w:t>
            </w:r>
            <w:r w:rsidRPr="00A62422">
              <w:rPr>
                <w:rFonts w:eastAsia="Arial" w:cstheme="minorHAnsi"/>
              </w:rPr>
              <w:t>information;</w:t>
            </w:r>
          </w:p>
          <w:p w:rsidR="00A62422" w:rsidRPr="00A62422" w:rsidRDefault="00A62422" w:rsidP="00A62422">
            <w:pPr>
              <w:pStyle w:val="ListParagraph"/>
              <w:widowControl w:val="0"/>
              <w:numPr>
                <w:ilvl w:val="0"/>
                <w:numId w:val="14"/>
              </w:numPr>
              <w:tabs>
                <w:tab w:val="left" w:pos="1160"/>
              </w:tabs>
              <w:spacing w:after="0" w:line="240" w:lineRule="auto"/>
              <w:ind w:right="274"/>
              <w:rPr>
                <w:rFonts w:eastAsia="Arial" w:cstheme="minorHAnsi"/>
              </w:rPr>
            </w:pPr>
            <w:r w:rsidRPr="00A62422">
              <w:rPr>
                <w:rFonts w:eastAsia="Arial" w:cstheme="minorHAnsi"/>
              </w:rPr>
              <w:t>Significance of the proposed contract on the third-party’s financial condition;</w:t>
            </w:r>
          </w:p>
          <w:p w:rsidR="00A62422" w:rsidRPr="00A62422" w:rsidRDefault="00A62422" w:rsidP="00A62422">
            <w:pPr>
              <w:pStyle w:val="ListParagraph"/>
              <w:widowControl w:val="0"/>
              <w:numPr>
                <w:ilvl w:val="0"/>
                <w:numId w:val="14"/>
              </w:numPr>
              <w:tabs>
                <w:tab w:val="left" w:pos="1160"/>
              </w:tabs>
              <w:spacing w:after="0" w:line="240" w:lineRule="auto"/>
              <w:ind w:right="274"/>
              <w:rPr>
                <w:rFonts w:eastAsia="Arial" w:cstheme="minorHAnsi"/>
              </w:rPr>
            </w:pPr>
            <w:r w:rsidRPr="00A62422">
              <w:rPr>
                <w:rFonts w:eastAsia="Arial" w:cstheme="minorHAnsi"/>
              </w:rPr>
              <w:t>Experience and ability in implementing and monitoring the proposed activity;</w:t>
            </w:r>
          </w:p>
          <w:p w:rsidR="00A62422" w:rsidRPr="00A62422" w:rsidRDefault="00A62422" w:rsidP="00A62422">
            <w:pPr>
              <w:pStyle w:val="ListParagraph"/>
              <w:widowControl w:val="0"/>
              <w:numPr>
                <w:ilvl w:val="0"/>
                <w:numId w:val="14"/>
              </w:numPr>
              <w:tabs>
                <w:tab w:val="left" w:pos="1160"/>
              </w:tabs>
              <w:spacing w:after="0" w:line="240" w:lineRule="auto"/>
              <w:ind w:right="95"/>
              <w:rPr>
                <w:rFonts w:eastAsia="Arial" w:cstheme="minorHAnsi"/>
              </w:rPr>
            </w:pPr>
            <w:r w:rsidRPr="00A62422">
              <w:rPr>
                <w:rFonts w:eastAsia="Arial" w:cstheme="minorHAnsi"/>
              </w:rPr>
              <w:lastRenderedPageBreak/>
              <w:t>C</w:t>
            </w:r>
            <w:r w:rsidRPr="00A62422">
              <w:rPr>
                <w:rFonts w:eastAsia="Arial" w:cstheme="minorHAnsi"/>
                <w:spacing w:val="-1"/>
              </w:rPr>
              <w:t>o</w:t>
            </w:r>
            <w:r w:rsidRPr="00A62422">
              <w:rPr>
                <w:rFonts w:eastAsia="Arial" w:cstheme="minorHAnsi"/>
              </w:rPr>
              <w:t>st analys</w:t>
            </w:r>
            <w:r w:rsidRPr="00A62422">
              <w:rPr>
                <w:rFonts w:eastAsia="Arial" w:cstheme="minorHAnsi"/>
                <w:spacing w:val="-1"/>
              </w:rPr>
              <w:t>i</w:t>
            </w:r>
            <w:r w:rsidRPr="00A62422">
              <w:rPr>
                <w:rFonts w:eastAsia="Arial" w:cstheme="minorHAnsi"/>
              </w:rPr>
              <w:t>s</w:t>
            </w:r>
            <w:r w:rsidRPr="00A62422">
              <w:rPr>
                <w:rFonts w:eastAsia="Arial" w:cstheme="minorHAnsi"/>
                <w:spacing w:val="-1"/>
              </w:rPr>
              <w:t xml:space="preserve"> </w:t>
            </w:r>
            <w:r w:rsidRPr="00A62422">
              <w:rPr>
                <w:rFonts w:eastAsia="Arial" w:cstheme="minorHAnsi"/>
              </w:rPr>
              <w:t>comp</w:t>
            </w:r>
            <w:r w:rsidRPr="00A62422">
              <w:rPr>
                <w:rFonts w:eastAsia="Arial" w:cstheme="minorHAnsi"/>
                <w:spacing w:val="-1"/>
              </w:rPr>
              <w:t>a</w:t>
            </w:r>
            <w:r w:rsidRPr="00A62422">
              <w:rPr>
                <w:rFonts w:eastAsia="Arial" w:cstheme="minorHAnsi"/>
              </w:rPr>
              <w:t>ri</w:t>
            </w:r>
            <w:r w:rsidRPr="00A62422">
              <w:rPr>
                <w:rFonts w:eastAsia="Arial" w:cstheme="minorHAnsi"/>
                <w:spacing w:val="-1"/>
              </w:rPr>
              <w:t>n</w:t>
            </w:r>
            <w:r w:rsidRPr="00A62422">
              <w:rPr>
                <w:rFonts w:eastAsia="Arial" w:cstheme="minorHAnsi"/>
              </w:rPr>
              <w:t>g the Vendor’s offering to oth</w:t>
            </w:r>
            <w:r w:rsidRPr="00A62422">
              <w:rPr>
                <w:rFonts w:eastAsia="Arial" w:cstheme="minorHAnsi"/>
                <w:spacing w:val="-1"/>
              </w:rPr>
              <w:t>e</w:t>
            </w:r>
            <w:r w:rsidRPr="00A62422">
              <w:rPr>
                <w:rFonts w:eastAsia="Arial" w:cstheme="minorHAnsi"/>
              </w:rPr>
              <w:t xml:space="preserve">r methods of </w:t>
            </w:r>
            <w:r w:rsidRPr="00A62422">
              <w:rPr>
                <w:rFonts w:eastAsia="Arial" w:cstheme="minorHAnsi"/>
                <w:spacing w:val="-1"/>
              </w:rPr>
              <w:t>p</w:t>
            </w:r>
            <w:r w:rsidRPr="00A62422">
              <w:rPr>
                <w:rFonts w:eastAsia="Arial" w:cstheme="minorHAnsi"/>
              </w:rPr>
              <w:t>erform</w:t>
            </w:r>
            <w:r w:rsidRPr="00A62422">
              <w:rPr>
                <w:rFonts w:eastAsia="Arial" w:cstheme="minorHAnsi"/>
                <w:spacing w:val="-1"/>
              </w:rPr>
              <w:t>i</w:t>
            </w:r>
            <w:r w:rsidRPr="00A62422">
              <w:rPr>
                <w:rFonts w:eastAsia="Arial" w:cstheme="minorHAnsi"/>
              </w:rPr>
              <w:t>ng the</w:t>
            </w:r>
            <w:r w:rsidRPr="00A62422">
              <w:rPr>
                <w:rFonts w:eastAsia="Arial" w:cstheme="minorHAnsi"/>
                <w:spacing w:val="-1"/>
              </w:rPr>
              <w:t xml:space="preserve"> </w:t>
            </w:r>
            <w:r w:rsidRPr="00A62422">
              <w:rPr>
                <w:rFonts w:eastAsia="Arial" w:cstheme="minorHAnsi"/>
              </w:rPr>
              <w:t>service, incl</w:t>
            </w:r>
            <w:r w:rsidRPr="00A62422">
              <w:rPr>
                <w:rFonts w:eastAsia="Arial" w:cstheme="minorHAnsi"/>
                <w:spacing w:val="-1"/>
              </w:rPr>
              <w:t>u</w:t>
            </w:r>
            <w:r w:rsidRPr="00A62422">
              <w:rPr>
                <w:rFonts w:eastAsia="Arial" w:cstheme="minorHAnsi"/>
              </w:rPr>
              <w:t>ding the</w:t>
            </w:r>
            <w:r w:rsidRPr="00A62422">
              <w:rPr>
                <w:rFonts w:eastAsia="Arial" w:cstheme="minorHAnsi"/>
                <w:spacing w:val="-2"/>
              </w:rPr>
              <w:t xml:space="preserve"> </w:t>
            </w:r>
            <w:r w:rsidRPr="00A62422">
              <w:rPr>
                <w:rFonts w:eastAsia="Arial" w:cstheme="minorHAnsi"/>
              </w:rPr>
              <w:t>use of the ot</w:t>
            </w:r>
            <w:r w:rsidRPr="00A62422">
              <w:rPr>
                <w:rFonts w:eastAsia="Arial" w:cstheme="minorHAnsi"/>
                <w:spacing w:val="-1"/>
              </w:rPr>
              <w:t>h</w:t>
            </w:r>
            <w:r w:rsidRPr="00A62422">
              <w:rPr>
                <w:rFonts w:eastAsia="Arial" w:cstheme="minorHAnsi"/>
              </w:rPr>
              <w:t>er potential vend</w:t>
            </w:r>
            <w:r w:rsidRPr="00A62422">
              <w:rPr>
                <w:rFonts w:eastAsia="Arial" w:cstheme="minorHAnsi"/>
                <w:spacing w:val="-1"/>
              </w:rPr>
              <w:t>o</w:t>
            </w:r>
            <w:r w:rsidRPr="00A62422">
              <w:rPr>
                <w:rFonts w:eastAsia="Arial" w:cstheme="minorHAnsi"/>
              </w:rPr>
              <w:t>rs</w:t>
            </w:r>
            <w:r w:rsidRPr="00A62422">
              <w:rPr>
                <w:rFonts w:eastAsia="Arial" w:cstheme="minorHAnsi"/>
                <w:spacing w:val="1"/>
              </w:rPr>
              <w:t xml:space="preserve"> </w:t>
            </w:r>
            <w:r w:rsidRPr="00A62422">
              <w:rPr>
                <w:rFonts w:eastAsia="Arial" w:cstheme="minorHAnsi"/>
              </w:rPr>
              <w:t>a</w:t>
            </w:r>
            <w:r w:rsidRPr="00A62422">
              <w:rPr>
                <w:rFonts w:eastAsia="Arial" w:cstheme="minorHAnsi"/>
                <w:spacing w:val="-1"/>
              </w:rPr>
              <w:t>n</w:t>
            </w:r>
            <w:r w:rsidRPr="00A62422">
              <w:rPr>
                <w:rFonts w:eastAsia="Arial" w:cstheme="minorHAnsi"/>
              </w:rPr>
              <w:t>d perf</w:t>
            </w:r>
            <w:r w:rsidRPr="00A62422">
              <w:rPr>
                <w:rFonts w:eastAsia="Arial" w:cstheme="minorHAnsi"/>
                <w:spacing w:val="-1"/>
              </w:rPr>
              <w:t>o</w:t>
            </w:r>
            <w:r w:rsidRPr="00A62422">
              <w:rPr>
                <w:rFonts w:eastAsia="Arial" w:cstheme="minorHAnsi"/>
              </w:rPr>
              <w:t>rming</w:t>
            </w:r>
            <w:r w:rsidRPr="00A62422">
              <w:rPr>
                <w:rFonts w:eastAsia="Arial" w:cstheme="minorHAnsi"/>
                <w:spacing w:val="-1"/>
              </w:rPr>
              <w:t xml:space="preserve"> </w:t>
            </w:r>
            <w:r w:rsidRPr="00A62422">
              <w:rPr>
                <w:rFonts w:eastAsia="Arial" w:cstheme="minorHAnsi"/>
              </w:rPr>
              <w:t>the serv</w:t>
            </w:r>
            <w:r w:rsidRPr="00A62422">
              <w:rPr>
                <w:rFonts w:eastAsia="Arial" w:cstheme="minorHAnsi"/>
                <w:spacing w:val="-1"/>
              </w:rPr>
              <w:t>i</w:t>
            </w:r>
            <w:r w:rsidRPr="00A62422">
              <w:rPr>
                <w:rFonts w:eastAsia="Arial" w:cstheme="minorHAnsi"/>
                <w:spacing w:val="1"/>
              </w:rPr>
              <w:t>c</w:t>
            </w:r>
            <w:r w:rsidRPr="00A62422">
              <w:rPr>
                <w:rFonts w:eastAsia="Arial" w:cstheme="minorHAnsi"/>
              </w:rPr>
              <w:t>e i</w:t>
            </w:r>
            <w:r w:rsidRPr="00A62422">
              <w:rPr>
                <w:rFonts w:eastAsia="Arial" w:cstheme="minorHAnsi"/>
                <w:spacing w:val="-1"/>
              </w:rPr>
              <w:t>n</w:t>
            </w:r>
            <w:r w:rsidRPr="00A62422">
              <w:rPr>
                <w:rFonts w:eastAsia="Arial" w:cstheme="minorHAnsi"/>
              </w:rPr>
              <w:t>-ho</w:t>
            </w:r>
            <w:r w:rsidRPr="00A62422">
              <w:rPr>
                <w:rFonts w:eastAsia="Arial" w:cstheme="minorHAnsi"/>
                <w:spacing w:val="-1"/>
              </w:rPr>
              <w:t>u</w:t>
            </w:r>
            <w:r w:rsidRPr="00A62422">
              <w:rPr>
                <w:rFonts w:eastAsia="Arial" w:cstheme="minorHAnsi"/>
              </w:rPr>
              <w:t>se.</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Business reputation of the Vendor (including refe</w:t>
            </w:r>
            <w:r w:rsidRPr="00A62422">
              <w:rPr>
                <w:rFonts w:eastAsia="Arial" w:cstheme="minorHAnsi"/>
                <w:spacing w:val="-1"/>
              </w:rPr>
              <w:t>r</w:t>
            </w:r>
            <w:r w:rsidRPr="00A62422">
              <w:rPr>
                <w:rFonts w:eastAsia="Arial" w:cstheme="minorHAnsi"/>
              </w:rPr>
              <w:t>e</w:t>
            </w:r>
            <w:r w:rsidRPr="00A62422">
              <w:rPr>
                <w:rFonts w:eastAsia="Arial" w:cstheme="minorHAnsi"/>
                <w:spacing w:val="-1"/>
              </w:rPr>
              <w:t>n</w:t>
            </w:r>
            <w:r w:rsidRPr="00A62422">
              <w:rPr>
                <w:rFonts w:eastAsia="Arial" w:cstheme="minorHAnsi"/>
                <w:spacing w:val="1"/>
              </w:rPr>
              <w:t>c</w:t>
            </w:r>
            <w:r w:rsidRPr="00A62422">
              <w:rPr>
                <w:rFonts w:eastAsia="Arial" w:cstheme="minorHAnsi"/>
              </w:rPr>
              <w:t xml:space="preserve">e </w:t>
            </w:r>
            <w:r w:rsidRPr="00A62422">
              <w:rPr>
                <w:rFonts w:eastAsia="Arial" w:cstheme="minorHAnsi"/>
                <w:spacing w:val="-1"/>
              </w:rPr>
              <w:t>ch</w:t>
            </w:r>
            <w:r w:rsidRPr="00A62422">
              <w:rPr>
                <w:rFonts w:eastAsia="Arial" w:cstheme="minorHAnsi"/>
              </w:rPr>
              <w:t>e</w:t>
            </w:r>
            <w:r w:rsidRPr="00A62422">
              <w:rPr>
                <w:rFonts w:eastAsia="Arial" w:cstheme="minorHAnsi"/>
                <w:spacing w:val="-1"/>
              </w:rPr>
              <w:t>c</w:t>
            </w:r>
            <w:r w:rsidRPr="00A62422">
              <w:rPr>
                <w:rFonts w:eastAsia="Arial" w:cstheme="minorHAnsi"/>
              </w:rPr>
              <w:t>ks</w:t>
            </w:r>
            <w:r w:rsidRPr="00A62422">
              <w:rPr>
                <w:rFonts w:eastAsia="Arial" w:cstheme="minorHAnsi"/>
                <w:spacing w:val="-1"/>
              </w:rPr>
              <w:t xml:space="preserve"> </w:t>
            </w:r>
            <w:r w:rsidRPr="00A62422">
              <w:rPr>
                <w:rFonts w:eastAsia="Arial" w:cstheme="minorHAnsi"/>
              </w:rPr>
              <w:t>with c</w:t>
            </w:r>
            <w:r w:rsidRPr="00A62422">
              <w:rPr>
                <w:rFonts w:eastAsia="Arial" w:cstheme="minorHAnsi"/>
                <w:spacing w:val="-1"/>
              </w:rPr>
              <w:t>u</w:t>
            </w:r>
            <w:r w:rsidRPr="00A62422">
              <w:rPr>
                <w:rFonts w:eastAsia="Arial" w:cstheme="minorHAnsi"/>
              </w:rPr>
              <w:t>r</w:t>
            </w:r>
            <w:r w:rsidRPr="00A62422">
              <w:rPr>
                <w:rFonts w:eastAsia="Arial" w:cstheme="minorHAnsi"/>
                <w:spacing w:val="-1"/>
              </w:rPr>
              <w:t>r</w:t>
            </w:r>
            <w:r w:rsidRPr="00A62422">
              <w:rPr>
                <w:rFonts w:eastAsia="Arial" w:cstheme="minorHAnsi"/>
              </w:rPr>
              <w:t>ent</w:t>
            </w:r>
            <w:r w:rsidRPr="00A62422">
              <w:rPr>
                <w:rFonts w:eastAsia="Arial" w:cstheme="minorHAnsi"/>
                <w:spacing w:val="-1"/>
              </w:rPr>
              <w:t xml:space="preserve"> </w:t>
            </w:r>
            <w:r w:rsidRPr="00A62422">
              <w:rPr>
                <w:rFonts w:eastAsia="Arial" w:cstheme="minorHAnsi"/>
              </w:rPr>
              <w:t>c</w:t>
            </w:r>
            <w:r w:rsidRPr="00A62422">
              <w:rPr>
                <w:rFonts w:eastAsia="Arial" w:cstheme="minorHAnsi"/>
                <w:spacing w:val="-1"/>
              </w:rPr>
              <w:t>u</w:t>
            </w:r>
            <w:r w:rsidRPr="00A62422">
              <w:rPr>
                <w:rFonts w:eastAsia="Arial" w:cstheme="minorHAnsi"/>
              </w:rPr>
              <w:t>stom</w:t>
            </w:r>
            <w:r w:rsidRPr="00A62422">
              <w:rPr>
                <w:rFonts w:eastAsia="Arial" w:cstheme="minorHAnsi"/>
                <w:spacing w:val="-1"/>
              </w:rPr>
              <w:t>er</w:t>
            </w:r>
            <w:r w:rsidRPr="00A62422">
              <w:rPr>
                <w:rFonts w:eastAsia="Arial" w:cstheme="minorHAnsi"/>
              </w:rPr>
              <w:t>s);</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Qualificatio</w:t>
            </w:r>
            <w:r w:rsidRPr="00A62422">
              <w:rPr>
                <w:rFonts w:eastAsia="Arial" w:cstheme="minorHAnsi"/>
                <w:spacing w:val="-1"/>
              </w:rPr>
              <w:t>n</w:t>
            </w:r>
            <w:r w:rsidRPr="00A62422">
              <w:rPr>
                <w:rFonts w:eastAsia="Arial" w:cstheme="minorHAnsi"/>
              </w:rPr>
              <w:t>s</w:t>
            </w:r>
            <w:r w:rsidRPr="00A62422">
              <w:rPr>
                <w:rFonts w:eastAsia="Arial" w:cstheme="minorHAnsi"/>
                <w:spacing w:val="-1"/>
              </w:rPr>
              <w:t xml:space="preserve"> </w:t>
            </w:r>
            <w:r w:rsidRPr="00A62422">
              <w:rPr>
                <w:rFonts w:eastAsia="Arial" w:cstheme="minorHAnsi"/>
              </w:rPr>
              <w:t>and exper</w:t>
            </w:r>
            <w:r w:rsidRPr="00A62422">
              <w:rPr>
                <w:rFonts w:eastAsia="Arial" w:cstheme="minorHAnsi"/>
                <w:spacing w:val="-1"/>
              </w:rPr>
              <w:t>i</w:t>
            </w:r>
            <w:r w:rsidRPr="00A62422">
              <w:rPr>
                <w:rFonts w:eastAsia="Arial" w:cstheme="minorHAnsi"/>
              </w:rPr>
              <w:t>e</w:t>
            </w:r>
            <w:r w:rsidRPr="00A62422">
              <w:rPr>
                <w:rFonts w:eastAsia="Arial" w:cstheme="minorHAnsi"/>
                <w:spacing w:val="-1"/>
              </w:rPr>
              <w:t>n</w:t>
            </w:r>
            <w:r w:rsidRPr="00A62422">
              <w:rPr>
                <w:rFonts w:eastAsia="Arial" w:cstheme="minorHAnsi"/>
                <w:spacing w:val="1"/>
              </w:rPr>
              <w:t>c</w:t>
            </w:r>
            <w:r w:rsidRPr="00A62422">
              <w:rPr>
                <w:rFonts w:eastAsia="Arial" w:cstheme="minorHAnsi"/>
              </w:rPr>
              <w:t>e of Vendor’s pri</w:t>
            </w:r>
            <w:r w:rsidRPr="00A62422">
              <w:rPr>
                <w:rFonts w:eastAsia="Arial" w:cstheme="minorHAnsi"/>
                <w:spacing w:val="-1"/>
              </w:rPr>
              <w:t>n</w:t>
            </w:r>
            <w:r w:rsidRPr="00A62422">
              <w:rPr>
                <w:rFonts w:eastAsia="Arial" w:cstheme="minorHAnsi"/>
              </w:rPr>
              <w:t>cipa</w:t>
            </w:r>
            <w:r w:rsidRPr="00A62422">
              <w:rPr>
                <w:rFonts w:eastAsia="Arial" w:cstheme="minorHAnsi"/>
                <w:spacing w:val="-1"/>
              </w:rPr>
              <w:t>l</w:t>
            </w:r>
            <w:r w:rsidRPr="00A62422">
              <w:rPr>
                <w:rFonts w:eastAsia="Arial" w:cstheme="minorHAnsi"/>
              </w:rPr>
              <w:t>s;</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Strategies and goals, including service philosophies, quality initiatives, efficiency improvements; and employment policies;</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Existence of any significant complaints or litigation, or regulatory actions against the Vendor;</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Ability to perform the proposed functions using current systems or the need to make additional investment;</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Use of other parties or subcontractors by the Vendor;</w:t>
            </w:r>
          </w:p>
          <w:p w:rsidR="00A62422" w:rsidRPr="00A62422" w:rsidRDefault="00A62422" w:rsidP="00A62422">
            <w:pPr>
              <w:pStyle w:val="ListParagraph"/>
              <w:widowControl w:val="0"/>
              <w:numPr>
                <w:ilvl w:val="0"/>
                <w:numId w:val="14"/>
              </w:numPr>
              <w:tabs>
                <w:tab w:val="left" w:pos="1160"/>
              </w:tabs>
              <w:spacing w:after="0" w:line="240" w:lineRule="auto"/>
              <w:ind w:right="629"/>
              <w:rPr>
                <w:rFonts w:eastAsia="Arial" w:cstheme="minorHAnsi"/>
              </w:rPr>
            </w:pPr>
            <w:r w:rsidRPr="00A62422">
              <w:rPr>
                <w:rFonts w:eastAsia="Arial" w:cstheme="minorHAnsi"/>
              </w:rPr>
              <w:t>Scope of int</w:t>
            </w:r>
            <w:r w:rsidRPr="00A62422">
              <w:rPr>
                <w:rFonts w:eastAsia="Arial" w:cstheme="minorHAnsi"/>
                <w:spacing w:val="-1"/>
              </w:rPr>
              <w:t>e</w:t>
            </w:r>
            <w:r w:rsidRPr="00A62422">
              <w:rPr>
                <w:rFonts w:eastAsia="Arial" w:cstheme="minorHAnsi"/>
              </w:rPr>
              <w:t>rnal controls,</w:t>
            </w:r>
            <w:r w:rsidRPr="00A62422">
              <w:rPr>
                <w:rFonts w:eastAsia="Arial" w:cstheme="minorHAnsi"/>
                <w:spacing w:val="-2"/>
              </w:rPr>
              <w:t xml:space="preserve"> </w:t>
            </w:r>
            <w:r w:rsidRPr="00A62422">
              <w:rPr>
                <w:rFonts w:eastAsia="Arial" w:cstheme="minorHAnsi"/>
              </w:rPr>
              <w:t>syste</w:t>
            </w:r>
            <w:r w:rsidRPr="00A62422">
              <w:rPr>
                <w:rFonts w:eastAsia="Arial" w:cstheme="minorHAnsi"/>
                <w:spacing w:val="-1"/>
              </w:rPr>
              <w:t>m</w:t>
            </w:r>
            <w:r w:rsidRPr="00A62422">
              <w:rPr>
                <w:rFonts w:eastAsia="Arial" w:cstheme="minorHAnsi"/>
              </w:rPr>
              <w:t>s and</w:t>
            </w:r>
            <w:r w:rsidRPr="00A62422">
              <w:rPr>
                <w:rFonts w:eastAsia="Arial" w:cstheme="minorHAnsi"/>
                <w:spacing w:val="-2"/>
              </w:rPr>
              <w:t xml:space="preserve"> </w:t>
            </w:r>
            <w:r w:rsidRPr="00A62422">
              <w:rPr>
                <w:rFonts w:eastAsia="Arial" w:cstheme="minorHAnsi"/>
              </w:rPr>
              <w:t>data s</w:t>
            </w:r>
            <w:r w:rsidRPr="00A62422">
              <w:rPr>
                <w:rFonts w:eastAsia="Arial" w:cstheme="minorHAnsi"/>
                <w:spacing w:val="-1"/>
              </w:rPr>
              <w:t>e</w:t>
            </w:r>
            <w:r w:rsidRPr="00A62422">
              <w:rPr>
                <w:rFonts w:eastAsia="Arial" w:cstheme="minorHAnsi"/>
              </w:rPr>
              <w:t>c</w:t>
            </w:r>
            <w:r w:rsidRPr="00A62422">
              <w:rPr>
                <w:rFonts w:eastAsia="Arial" w:cstheme="minorHAnsi"/>
                <w:spacing w:val="-1"/>
              </w:rPr>
              <w:t>u</w:t>
            </w:r>
            <w:r w:rsidRPr="00A62422">
              <w:rPr>
                <w:rFonts w:eastAsia="Arial" w:cstheme="minorHAnsi"/>
              </w:rPr>
              <w:t>rity, privacy prot</w:t>
            </w:r>
            <w:r w:rsidRPr="00A62422">
              <w:rPr>
                <w:rFonts w:eastAsia="Arial" w:cstheme="minorHAnsi"/>
                <w:spacing w:val="-1"/>
              </w:rPr>
              <w:t>e</w:t>
            </w:r>
            <w:r w:rsidRPr="00A62422">
              <w:rPr>
                <w:rFonts w:eastAsia="Arial" w:cstheme="minorHAnsi"/>
                <w:spacing w:val="1"/>
              </w:rPr>
              <w:t>c</w:t>
            </w:r>
            <w:r w:rsidRPr="00A62422">
              <w:rPr>
                <w:rFonts w:eastAsia="Arial" w:cstheme="minorHAnsi"/>
              </w:rPr>
              <w:t>tio</w:t>
            </w:r>
            <w:r w:rsidRPr="00A62422">
              <w:rPr>
                <w:rFonts w:eastAsia="Arial" w:cstheme="minorHAnsi"/>
                <w:spacing w:val="-1"/>
              </w:rPr>
              <w:t>n</w:t>
            </w:r>
            <w:r w:rsidRPr="00A62422">
              <w:rPr>
                <w:rFonts w:eastAsia="Arial" w:cstheme="minorHAnsi"/>
              </w:rPr>
              <w:t xml:space="preserve">s and </w:t>
            </w:r>
            <w:r w:rsidRPr="00A62422">
              <w:rPr>
                <w:rFonts w:eastAsia="Arial" w:cstheme="minorHAnsi"/>
                <w:spacing w:val="-1"/>
              </w:rPr>
              <w:t>au</w:t>
            </w:r>
            <w:r w:rsidRPr="00A62422">
              <w:rPr>
                <w:rFonts w:eastAsia="Arial" w:cstheme="minorHAnsi"/>
              </w:rPr>
              <w:t>dit coverage;</w:t>
            </w:r>
          </w:p>
          <w:p w:rsidR="00A62422" w:rsidRPr="00A62422" w:rsidRDefault="00A62422" w:rsidP="00A62422">
            <w:pPr>
              <w:pStyle w:val="ListParagraph"/>
              <w:widowControl w:val="0"/>
              <w:numPr>
                <w:ilvl w:val="0"/>
                <w:numId w:val="14"/>
              </w:numPr>
              <w:tabs>
                <w:tab w:val="left" w:pos="1160"/>
              </w:tabs>
              <w:spacing w:after="0" w:line="240" w:lineRule="auto"/>
              <w:ind w:right="629"/>
              <w:rPr>
                <w:rFonts w:eastAsia="Arial" w:cstheme="minorHAnsi"/>
              </w:rPr>
            </w:pPr>
            <w:r w:rsidRPr="00A62422">
              <w:rPr>
                <w:rFonts w:eastAsia="Arial" w:cstheme="minorHAnsi"/>
              </w:rPr>
              <w:t>Business continuity and disaster recovery plans;</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Adequacy of management information systems;</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 xml:space="preserve">SSAE 18 documentation; </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Applicable Gramm-Leach-Bliley Act (GLBA) reviews; and,</w:t>
            </w:r>
          </w:p>
          <w:p w:rsidR="00A62422" w:rsidRPr="00A62422" w:rsidRDefault="00A62422" w:rsidP="00A62422">
            <w:pPr>
              <w:pStyle w:val="ListParagraph"/>
              <w:widowControl w:val="0"/>
              <w:numPr>
                <w:ilvl w:val="0"/>
                <w:numId w:val="14"/>
              </w:numPr>
              <w:tabs>
                <w:tab w:val="left" w:pos="1160"/>
              </w:tabs>
              <w:spacing w:after="0" w:line="240" w:lineRule="auto"/>
              <w:ind w:right="-20"/>
              <w:rPr>
                <w:rFonts w:eastAsia="Arial" w:cstheme="minorHAnsi"/>
              </w:rPr>
            </w:pPr>
            <w:r w:rsidRPr="00A62422">
              <w:rPr>
                <w:rFonts w:eastAsia="Arial" w:cstheme="minorHAnsi"/>
              </w:rPr>
              <w:t>Insura</w:t>
            </w:r>
            <w:r w:rsidRPr="00A62422">
              <w:rPr>
                <w:rFonts w:eastAsia="Arial" w:cstheme="minorHAnsi"/>
                <w:spacing w:val="-1"/>
              </w:rPr>
              <w:t>n</w:t>
            </w:r>
            <w:r w:rsidRPr="00A62422">
              <w:rPr>
                <w:rFonts w:eastAsia="Arial" w:cstheme="minorHAnsi"/>
                <w:spacing w:val="1"/>
              </w:rPr>
              <w:t>c</w:t>
            </w:r>
            <w:r w:rsidRPr="00A62422">
              <w:rPr>
                <w:rFonts w:eastAsia="Arial" w:cstheme="minorHAnsi"/>
              </w:rPr>
              <w:t>e</w:t>
            </w:r>
            <w:r w:rsidRPr="00A62422">
              <w:rPr>
                <w:rFonts w:eastAsia="Arial" w:cstheme="minorHAnsi"/>
                <w:spacing w:val="-2"/>
              </w:rPr>
              <w:t xml:space="preserve"> </w:t>
            </w:r>
            <w:r w:rsidRPr="00A62422">
              <w:rPr>
                <w:rFonts w:eastAsia="Arial" w:cstheme="minorHAnsi"/>
              </w:rPr>
              <w:t>cov</w:t>
            </w:r>
            <w:r w:rsidRPr="00A62422">
              <w:rPr>
                <w:rFonts w:eastAsia="Arial" w:cstheme="minorHAnsi"/>
                <w:spacing w:val="-1"/>
              </w:rPr>
              <w:t>e</w:t>
            </w:r>
            <w:r w:rsidRPr="00A62422">
              <w:rPr>
                <w:rFonts w:eastAsia="Arial" w:cstheme="minorHAnsi"/>
              </w:rPr>
              <w:t>rage.</w:t>
            </w:r>
          </w:p>
          <w:p w:rsidR="00A62422" w:rsidRPr="00A62422" w:rsidRDefault="00A62422" w:rsidP="00A62422">
            <w:pPr>
              <w:pStyle w:val="Default"/>
              <w:rPr>
                <w:sz w:val="22"/>
                <w:szCs w:val="22"/>
              </w:rPr>
            </w:pPr>
          </w:p>
        </w:tc>
      </w:tr>
    </w:tbl>
    <w:p w:rsidR="000F1643" w:rsidRPr="000F1643" w:rsidRDefault="000F1643" w:rsidP="000F5D84">
      <w:pPr>
        <w:rPr>
          <w:b/>
        </w:rPr>
      </w:pPr>
      <w:r w:rsidRPr="000F1643">
        <w:rPr>
          <w:b/>
        </w:rPr>
        <w:lastRenderedPageBreak/>
        <w:t>Purpose</w:t>
      </w:r>
    </w:p>
    <w:p w:rsidR="00A62422" w:rsidRPr="00E56006" w:rsidRDefault="00A62422" w:rsidP="00E56006">
      <w:pPr>
        <w:pStyle w:val="Default"/>
        <w:rPr>
          <w:sz w:val="23"/>
          <w:szCs w:val="23"/>
        </w:rPr>
      </w:pPr>
      <w:r w:rsidRPr="00E56006">
        <w:rPr>
          <w:sz w:val="23"/>
          <w:szCs w:val="23"/>
        </w:rPr>
        <w:t>The purpose of this policy is to establish requirements for ensuring third-party service providers meet &lt;COMPANY NAME&gt; requirements for preserving and protecting &lt;COMPANY NAME&gt; Data.</w:t>
      </w:r>
    </w:p>
    <w:p w:rsidR="00E56006" w:rsidRDefault="00E56006" w:rsidP="000F5D84">
      <w:pPr>
        <w:rPr>
          <w:b/>
        </w:rPr>
      </w:pPr>
    </w:p>
    <w:p w:rsidR="000F1643" w:rsidRPr="000F1643" w:rsidRDefault="000F1643" w:rsidP="000F5D84">
      <w:pPr>
        <w:rPr>
          <w:b/>
        </w:rPr>
      </w:pPr>
      <w:r w:rsidRPr="000F1643">
        <w:rPr>
          <w:b/>
        </w:rPr>
        <w:t>Scope</w:t>
      </w:r>
    </w:p>
    <w:p w:rsidR="00A62422" w:rsidRDefault="00A62422" w:rsidP="00A62422">
      <w:pPr>
        <w:pStyle w:val="Default"/>
        <w:rPr>
          <w:sz w:val="23"/>
          <w:szCs w:val="23"/>
        </w:rPr>
      </w:pPr>
      <w:r>
        <w:rPr>
          <w:sz w:val="23"/>
          <w:szCs w:val="23"/>
        </w:rPr>
        <w:t xml:space="preserve">This policy governs the processes used to determine the security posture and risk level of vendors with use of the company’s data. </w:t>
      </w:r>
      <w:proofErr w:type="gramStart"/>
      <w:r>
        <w:rPr>
          <w:sz w:val="23"/>
          <w:szCs w:val="23"/>
        </w:rPr>
        <w:t>The  scope</w:t>
      </w:r>
      <w:proofErr w:type="gramEnd"/>
      <w:r>
        <w:rPr>
          <w:sz w:val="23"/>
          <w:szCs w:val="23"/>
        </w:rPr>
        <w:t xml:space="preserve"> includes but may not be limited to the following: </w:t>
      </w:r>
    </w:p>
    <w:p w:rsidR="00CF5AB0" w:rsidRDefault="00CF5AB0" w:rsidP="00A62422">
      <w:pPr>
        <w:pStyle w:val="Default"/>
        <w:rPr>
          <w:sz w:val="23"/>
          <w:szCs w:val="23"/>
        </w:rPr>
      </w:pPr>
    </w:p>
    <w:p w:rsidR="00A62422" w:rsidRDefault="00A62422" w:rsidP="00CF5AB0">
      <w:pPr>
        <w:pStyle w:val="Default"/>
        <w:numPr>
          <w:ilvl w:val="0"/>
          <w:numId w:val="18"/>
        </w:numPr>
        <w:spacing w:after="34"/>
        <w:rPr>
          <w:sz w:val="23"/>
          <w:szCs w:val="23"/>
        </w:rPr>
      </w:pPr>
      <w:r>
        <w:rPr>
          <w:sz w:val="23"/>
          <w:szCs w:val="23"/>
        </w:rPr>
        <w:t xml:space="preserve">Information Technology &amp; Security Operations. </w:t>
      </w:r>
    </w:p>
    <w:p w:rsidR="00A62422" w:rsidRDefault="00A62422" w:rsidP="00CF5AB0">
      <w:pPr>
        <w:pStyle w:val="Default"/>
        <w:numPr>
          <w:ilvl w:val="0"/>
          <w:numId w:val="18"/>
        </w:numPr>
        <w:spacing w:after="34"/>
        <w:rPr>
          <w:sz w:val="23"/>
          <w:szCs w:val="23"/>
        </w:rPr>
      </w:pPr>
      <w:r>
        <w:rPr>
          <w:sz w:val="23"/>
          <w:szCs w:val="23"/>
        </w:rPr>
        <w:t xml:space="preserve">Finance Administration – Purchasing. </w:t>
      </w:r>
    </w:p>
    <w:p w:rsidR="00A62422" w:rsidRDefault="00A62422" w:rsidP="00CF5AB0">
      <w:pPr>
        <w:pStyle w:val="Default"/>
        <w:numPr>
          <w:ilvl w:val="0"/>
          <w:numId w:val="18"/>
        </w:numPr>
        <w:rPr>
          <w:sz w:val="23"/>
          <w:szCs w:val="23"/>
        </w:rPr>
      </w:pPr>
      <w:r>
        <w:rPr>
          <w:sz w:val="23"/>
          <w:szCs w:val="23"/>
        </w:rPr>
        <w:t xml:space="preserve">Operations. </w:t>
      </w:r>
    </w:p>
    <w:p w:rsidR="00A62422" w:rsidRDefault="00A62422" w:rsidP="00A62422">
      <w:pPr>
        <w:pStyle w:val="Default"/>
        <w:rPr>
          <w:sz w:val="23"/>
          <w:szCs w:val="23"/>
        </w:rPr>
      </w:pPr>
    </w:p>
    <w:p w:rsidR="000F5D84" w:rsidRPr="009F3D77" w:rsidRDefault="000F5D84" w:rsidP="000F5D84">
      <w:pPr>
        <w:rPr>
          <w:b/>
        </w:rPr>
      </w:pPr>
      <w:r w:rsidRPr="009F3D77">
        <w:rPr>
          <w:b/>
        </w:rPr>
        <w:t>Applicable Standards</w:t>
      </w:r>
    </w:p>
    <w:p w:rsidR="000F5D84"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CF5AB0" w:rsidRPr="009F3D77" w:rsidRDefault="00CF5AB0" w:rsidP="009F3D77">
      <w:pPr>
        <w:spacing w:after="0"/>
        <w:rPr>
          <w:u w:val="single"/>
        </w:rPr>
      </w:pPr>
    </w:p>
    <w:p w:rsidR="00A62422" w:rsidRPr="00A62422" w:rsidRDefault="00A62422" w:rsidP="00CF5AB0">
      <w:pPr>
        <w:pStyle w:val="ListParagraph"/>
        <w:numPr>
          <w:ilvl w:val="0"/>
          <w:numId w:val="19"/>
        </w:numPr>
        <w:shd w:val="clear" w:color="auto" w:fill="FFFFFF"/>
        <w:spacing w:after="0" w:line="240" w:lineRule="auto"/>
      </w:pPr>
      <w:r w:rsidRPr="00A62422">
        <w:t>05.i - Identification of Risks Related to External Parties</w:t>
      </w:r>
    </w:p>
    <w:p w:rsidR="00A62422" w:rsidRPr="00A62422" w:rsidRDefault="00A62422" w:rsidP="00CF5AB0">
      <w:pPr>
        <w:pStyle w:val="ListParagraph"/>
        <w:numPr>
          <w:ilvl w:val="0"/>
          <w:numId w:val="19"/>
        </w:numPr>
        <w:shd w:val="clear" w:color="auto" w:fill="FFFFFF"/>
        <w:spacing w:after="0" w:line="240" w:lineRule="auto"/>
      </w:pPr>
      <w:r w:rsidRPr="00A62422">
        <w:t>05.k - Addressing Security in Third Party Agreements</w:t>
      </w:r>
    </w:p>
    <w:p w:rsidR="00A62422" w:rsidRPr="00A62422" w:rsidRDefault="00A62422" w:rsidP="00CF5AB0">
      <w:pPr>
        <w:pStyle w:val="ListParagraph"/>
        <w:numPr>
          <w:ilvl w:val="0"/>
          <w:numId w:val="19"/>
        </w:numPr>
        <w:shd w:val="clear" w:color="auto" w:fill="FFFFFF"/>
        <w:spacing w:after="0" w:line="240" w:lineRule="auto"/>
      </w:pPr>
      <w:r w:rsidRPr="00A62422">
        <w:t>09.e - Service Delivery</w:t>
      </w:r>
    </w:p>
    <w:p w:rsidR="00A62422" w:rsidRPr="00A62422" w:rsidRDefault="00A62422" w:rsidP="00CF5AB0">
      <w:pPr>
        <w:pStyle w:val="ListParagraph"/>
        <w:numPr>
          <w:ilvl w:val="0"/>
          <w:numId w:val="19"/>
        </w:numPr>
        <w:shd w:val="clear" w:color="auto" w:fill="FFFFFF"/>
        <w:spacing w:after="0" w:line="240" w:lineRule="auto"/>
      </w:pPr>
      <w:r w:rsidRPr="00A62422">
        <w:t>09.f - Monitoring and Review of Third Party Services</w:t>
      </w:r>
    </w:p>
    <w:p w:rsidR="00A62422" w:rsidRPr="00A62422" w:rsidRDefault="00A62422" w:rsidP="00CF5AB0">
      <w:pPr>
        <w:pStyle w:val="ListParagraph"/>
        <w:numPr>
          <w:ilvl w:val="0"/>
          <w:numId w:val="19"/>
        </w:numPr>
        <w:shd w:val="clear" w:color="auto" w:fill="FFFFFF"/>
        <w:spacing w:after="0" w:line="240" w:lineRule="auto"/>
      </w:pPr>
      <w:r w:rsidRPr="00A62422">
        <w:t>09.g - Managing Changes to Third Party Services</w:t>
      </w:r>
    </w:p>
    <w:p w:rsidR="00A62422" w:rsidRPr="00A62422" w:rsidRDefault="00A62422" w:rsidP="00CF5AB0">
      <w:pPr>
        <w:pStyle w:val="ListParagraph"/>
        <w:numPr>
          <w:ilvl w:val="0"/>
          <w:numId w:val="19"/>
        </w:numPr>
        <w:shd w:val="clear" w:color="auto" w:fill="FFFFFF"/>
        <w:spacing w:after="0" w:line="240" w:lineRule="auto"/>
      </w:pPr>
      <w:r w:rsidRPr="00A62422">
        <w:t>10.1 - Outsourced Software Development</w:t>
      </w:r>
    </w:p>
    <w:p w:rsidR="000F5D84" w:rsidRPr="000F5D84" w:rsidRDefault="000F5D84" w:rsidP="009F3D77">
      <w:pPr>
        <w:spacing w:after="0"/>
      </w:pPr>
    </w:p>
    <w:p w:rsidR="000F5D84" w:rsidRDefault="000F5D84" w:rsidP="009F3D77">
      <w:pPr>
        <w:spacing w:after="0"/>
        <w:rPr>
          <w:u w:val="single"/>
        </w:rPr>
      </w:pPr>
      <w:r w:rsidRPr="009F3D77">
        <w:rPr>
          <w:u w:val="single"/>
        </w:rPr>
        <w:t>Applicable Standards from the HI</w:t>
      </w:r>
      <w:r w:rsidR="009F3D77" w:rsidRPr="009F3D77">
        <w:rPr>
          <w:u w:val="single"/>
        </w:rPr>
        <w:t>PAA Security Rule</w:t>
      </w:r>
    </w:p>
    <w:p w:rsidR="00CF5AB0" w:rsidRPr="009F3D77" w:rsidRDefault="00CF5AB0" w:rsidP="009F3D77">
      <w:pPr>
        <w:spacing w:after="0"/>
        <w:rPr>
          <w:u w:val="single"/>
        </w:rPr>
      </w:pPr>
    </w:p>
    <w:p w:rsidR="00A62422" w:rsidRPr="00A62422" w:rsidRDefault="00A62422" w:rsidP="00CF5AB0">
      <w:pPr>
        <w:pStyle w:val="ListParagraph"/>
        <w:numPr>
          <w:ilvl w:val="0"/>
          <w:numId w:val="20"/>
        </w:numPr>
        <w:shd w:val="clear" w:color="auto" w:fill="FFFFFF"/>
        <w:spacing w:after="100" w:afterAutospacing="1" w:line="240" w:lineRule="auto"/>
      </w:pPr>
      <w:r w:rsidRPr="00A62422">
        <w:t>164.314(a)(1)(</w:t>
      </w:r>
      <w:proofErr w:type="spellStart"/>
      <w:r w:rsidRPr="00A62422">
        <w:t>i</w:t>
      </w:r>
      <w:proofErr w:type="spellEnd"/>
      <w:r w:rsidRPr="00A62422">
        <w:t>) - Business Associate Contracts or Other Arrangements</w:t>
      </w:r>
    </w:p>
    <w:p w:rsidR="009F3D77" w:rsidRPr="009F3D77" w:rsidRDefault="009F3D77" w:rsidP="009F3D77">
      <w:pPr>
        <w:pStyle w:val="Heading1"/>
        <w:spacing w:before="211"/>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ADBC91"/>
    <w:multiLevelType w:val="hybridMultilevel"/>
    <w:tmpl w:val="6BF9FB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0C1AED"/>
    <w:multiLevelType w:val="hybridMultilevel"/>
    <w:tmpl w:val="5364A816"/>
    <w:lvl w:ilvl="0" w:tplc="9DD22C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C5EDF"/>
    <w:multiLevelType w:val="hybridMultilevel"/>
    <w:tmpl w:val="7EE6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26D7"/>
    <w:multiLevelType w:val="hybridMultilevel"/>
    <w:tmpl w:val="235C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C2F5D"/>
    <w:multiLevelType w:val="hybridMultilevel"/>
    <w:tmpl w:val="759A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9678E"/>
    <w:multiLevelType w:val="hybridMultilevel"/>
    <w:tmpl w:val="02EE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1AB5"/>
    <w:multiLevelType w:val="multilevel"/>
    <w:tmpl w:val="8D2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D7F59"/>
    <w:multiLevelType w:val="hybridMultilevel"/>
    <w:tmpl w:val="D054C6E8"/>
    <w:lvl w:ilvl="0" w:tplc="9DD22C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9414C"/>
    <w:multiLevelType w:val="hybridMultilevel"/>
    <w:tmpl w:val="E6D6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83BC4"/>
    <w:multiLevelType w:val="hybridMultilevel"/>
    <w:tmpl w:val="98DE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752E3"/>
    <w:multiLevelType w:val="multilevel"/>
    <w:tmpl w:val="05B6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69AF20C0"/>
    <w:multiLevelType w:val="hybridMultilevel"/>
    <w:tmpl w:val="D43E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A28C8"/>
    <w:multiLevelType w:val="hybridMultilevel"/>
    <w:tmpl w:val="988A55B8"/>
    <w:lvl w:ilvl="0" w:tplc="9DD22C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A4AEA"/>
    <w:multiLevelType w:val="multilevel"/>
    <w:tmpl w:val="91B8E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E22AC"/>
    <w:multiLevelType w:val="hybridMultilevel"/>
    <w:tmpl w:val="B2D2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55470"/>
    <w:multiLevelType w:val="hybridMultilevel"/>
    <w:tmpl w:val="2020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14"/>
  </w:num>
  <w:num w:numId="5">
    <w:abstractNumId w:val="19"/>
  </w:num>
  <w:num w:numId="6">
    <w:abstractNumId w:val="13"/>
  </w:num>
  <w:num w:numId="7">
    <w:abstractNumId w:val="7"/>
  </w:num>
  <w:num w:numId="8">
    <w:abstractNumId w:val="17"/>
  </w:num>
  <w:num w:numId="9">
    <w:abstractNumId w:val="4"/>
  </w:num>
  <w:num w:numId="10">
    <w:abstractNumId w:val="9"/>
  </w:num>
  <w:num w:numId="11">
    <w:abstractNumId w:val="11"/>
  </w:num>
  <w:num w:numId="12">
    <w:abstractNumId w:val="6"/>
  </w:num>
  <w:num w:numId="13">
    <w:abstractNumId w:val="3"/>
  </w:num>
  <w:num w:numId="14">
    <w:abstractNumId w:val="15"/>
  </w:num>
  <w:num w:numId="15">
    <w:abstractNumId w:val="0"/>
  </w:num>
  <w:num w:numId="16">
    <w:abstractNumId w:val="5"/>
  </w:num>
  <w:num w:numId="17">
    <w:abstractNumId w:val="18"/>
  </w:num>
  <w:num w:numId="18">
    <w:abstractNumId w:val="8"/>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1643"/>
    <w:rsid w:val="000F5D84"/>
    <w:rsid w:val="001159E6"/>
    <w:rsid w:val="00214ED1"/>
    <w:rsid w:val="00263952"/>
    <w:rsid w:val="00265E84"/>
    <w:rsid w:val="00296149"/>
    <w:rsid w:val="002C4517"/>
    <w:rsid w:val="0035697D"/>
    <w:rsid w:val="00415BD5"/>
    <w:rsid w:val="00427334"/>
    <w:rsid w:val="004B7E50"/>
    <w:rsid w:val="005E2849"/>
    <w:rsid w:val="00714B82"/>
    <w:rsid w:val="00776F0B"/>
    <w:rsid w:val="009D09F0"/>
    <w:rsid w:val="009F3D77"/>
    <w:rsid w:val="00A62422"/>
    <w:rsid w:val="00A62837"/>
    <w:rsid w:val="00B06A8D"/>
    <w:rsid w:val="00B23269"/>
    <w:rsid w:val="00B65FD2"/>
    <w:rsid w:val="00C00EEA"/>
    <w:rsid w:val="00CF5AB0"/>
    <w:rsid w:val="00E56006"/>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1ED3"/>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paragraph" w:styleId="Heading2">
    <w:name w:val="heading 2"/>
    <w:basedOn w:val="Normal"/>
    <w:next w:val="Normal"/>
    <w:link w:val="Heading2Char"/>
    <w:uiPriority w:val="9"/>
    <w:unhideWhenUsed/>
    <w:qFormat/>
    <w:rsid w:val="00A62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table" w:styleId="TableGrid">
    <w:name w:val="Table Grid"/>
    <w:basedOn w:val="TableNormal"/>
    <w:uiPriority w:val="39"/>
    <w:rsid w:val="0026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242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624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422"/>
    <w:rPr>
      <w:color w:val="0000FF"/>
      <w:u w:val="single"/>
    </w:rPr>
  </w:style>
  <w:style w:type="character" w:styleId="Emphasis">
    <w:name w:val="Emphasis"/>
    <w:basedOn w:val="DefaultParagraphFont"/>
    <w:uiPriority w:val="20"/>
    <w:qFormat/>
    <w:rsid w:val="00A62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6</cp:revision>
  <dcterms:created xsi:type="dcterms:W3CDTF">2020-01-27T03:27:00Z</dcterms:created>
  <dcterms:modified xsi:type="dcterms:W3CDTF">2021-07-11T23:15:00Z</dcterms:modified>
</cp:coreProperties>
</file>